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9B9" w:rsidRDefault="007B19B9" w:rsidP="007B19B9">
      <w:pPr>
        <w:pStyle w:val="c10"/>
        <w:shd w:val="clear" w:color="auto" w:fill="FFFFFF"/>
        <w:spacing w:before="0" w:beforeAutospacing="0" w:after="0" w:afterAutospacing="0" w:line="360" w:lineRule="auto"/>
        <w:ind w:firstLine="71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Анализ профессионального стандарта</w:t>
      </w:r>
    </w:p>
    <w:p w:rsidR="007B19B9" w:rsidRDefault="007B19B9" w:rsidP="007B19B9">
      <w:pPr>
        <w:pStyle w:val="c10"/>
        <w:shd w:val="clear" w:color="auto" w:fill="FFFFFF"/>
        <w:spacing w:before="0" w:beforeAutospacing="0" w:after="0" w:afterAutospacing="0" w:line="360" w:lineRule="auto"/>
        <w:ind w:firstLine="710"/>
        <w:rPr>
          <w:rFonts w:ascii="Calibri" w:hAnsi="Calibri" w:cs="Calibri"/>
          <w:color w:val="000000"/>
          <w:sz w:val="22"/>
          <w:szCs w:val="22"/>
        </w:rPr>
      </w:pP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Профессиональный стандарт «Преподаватель профессионального образования, профессионального обучения и дополнительного профессионального образования» утвержден приказом Минтруда России от 8 сентября 2015 г. № 608н. В соответствии с приказом стандарт «применяется работодателями при формировании кадровой политики и в управлении персоналом, при организации обучения и аттестации работников, заключении трудовых договоров, разработке должностных инструкций и установлении систем оплаты труда с 1 января 2017 г.».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4"/>
          <w:color w:val="000000"/>
          <w:sz w:val="28"/>
          <w:szCs w:val="28"/>
        </w:rPr>
        <w:t>Законодательно обязательность использования данного профессионального стандарта установлена в части определения требований к квалификации педагогических работников (статью 195.3 Трудового кодекса Российской Федерации от 30 декабря 2001 г. № 197-ФЗ (далее –  ТК РФ) и статью 46 Федерального закона от 29 декабря 2012 г. № 273-ФЗ «Об образовании в Российской Федерации» (далее – ФЗ «Об образовании»).</w:t>
      </w:r>
      <w:proofErr w:type="gramEnd"/>
      <w:r>
        <w:rPr>
          <w:rStyle w:val="c4"/>
          <w:color w:val="000000"/>
          <w:sz w:val="28"/>
          <w:szCs w:val="28"/>
        </w:rPr>
        <w:t xml:space="preserve"> В остальных случаях он применяется в рекомендательном порядке или наряду с единым квалификационным справочником должностей руководителей, специалистов и служащих (далее – ЕКС).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Должности педагогических работников описаны в двух разделах ЕКС: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- Квалификационные характеристики должностей работников образования (утв. приказом </w:t>
      </w:r>
      <w:proofErr w:type="spellStart"/>
      <w:r>
        <w:rPr>
          <w:rStyle w:val="c4"/>
          <w:color w:val="000000"/>
          <w:sz w:val="28"/>
          <w:szCs w:val="28"/>
        </w:rPr>
        <w:t>Минздравсоцразвития</w:t>
      </w:r>
      <w:proofErr w:type="spellEnd"/>
      <w:r>
        <w:rPr>
          <w:rStyle w:val="c4"/>
          <w:color w:val="000000"/>
          <w:sz w:val="28"/>
          <w:szCs w:val="28"/>
        </w:rPr>
        <w:t xml:space="preserve"> России от 26 августа 2010 г. № 761н;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4"/>
          <w:color w:val="000000"/>
          <w:sz w:val="28"/>
          <w:szCs w:val="28"/>
        </w:rPr>
        <w:t xml:space="preserve">-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(утв. приказом </w:t>
      </w:r>
      <w:proofErr w:type="spellStart"/>
      <w:r>
        <w:rPr>
          <w:rStyle w:val="c4"/>
          <w:color w:val="000000"/>
          <w:sz w:val="28"/>
          <w:szCs w:val="28"/>
        </w:rPr>
        <w:t>Минздравсоцразвития</w:t>
      </w:r>
      <w:proofErr w:type="spellEnd"/>
      <w:r>
        <w:rPr>
          <w:rStyle w:val="c4"/>
          <w:color w:val="000000"/>
          <w:sz w:val="28"/>
          <w:szCs w:val="28"/>
        </w:rPr>
        <w:t xml:space="preserve"> России от 11 января 2011 г.  № 1н.</w:t>
      </w:r>
      <w:proofErr w:type="gramEnd"/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Подбор педагогов, формирование штатного расписания и должностных инструкций, установление системы оплаты труда, обучение и аттестация педагогических работников традиционно относятся к управлению </w:t>
      </w:r>
      <w:r>
        <w:rPr>
          <w:rStyle w:val="c4"/>
          <w:color w:val="000000"/>
          <w:sz w:val="28"/>
          <w:szCs w:val="28"/>
        </w:rPr>
        <w:lastRenderedPageBreak/>
        <w:t>персоналом (в нашем случае - педагогическими кадрами), и должны обеспечивать реализацию кадровой политики, планироваться в контексте решения задач функционирования и развития организации.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Трудовой договор – соглашение между работодателем и работником. В нем в соответствии со статьей 57 ТК РФ определяется трудовая функция (работа по должности; конкретный вид поручаемой работнику работы) и условия оплаты труда, в том числе должностной оклад (ставка заработной платы) и выплаты стимулирующего характера.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При использовании профессионального стандарта необходимо учитывать, что они в отличие ЕКС описывают профессиональную деятельность, а не должности. Наименование вида профессиональной деятельности соответствует наименованию ПРОФЕССИОНАЛЬНЫЙ СТАНДАРТ и приведено в начале раздела I «Общие сведения». В рассматриваемом профессиональном стандарте это педагогическая деятельность в профессиональном обучении, профессиональном образовании, ДПО.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Описание профессиональной деятельности в профессиональном стандарте получается путем ее последовательной декомпозиции на обобщенные трудовые функции (далее - ОТФ) и трудовые функции (далее - ТФ), перечень которых приведен в разделе II «Описание трудовых функций, входящих в профессиональный стандарт (функциональная карта вида профессиональной деятельности)». Результат последнего этапа декомпозиции – перечень трудовых действий – приведен в разделе III «Характеристика обобщенных трудовых функций» для каждой из трудовых функций.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Таким образом</w:t>
      </w:r>
      <w:r>
        <w:rPr>
          <w:rStyle w:val="c1"/>
          <w:i/>
          <w:iCs/>
          <w:color w:val="000000"/>
          <w:sz w:val="28"/>
          <w:szCs w:val="28"/>
        </w:rPr>
        <w:t>,</w:t>
      </w:r>
      <w:r>
        <w:rPr>
          <w:rStyle w:val="c5"/>
          <w:color w:val="000000"/>
          <w:sz w:val="28"/>
          <w:szCs w:val="28"/>
        </w:rPr>
        <w:t> </w:t>
      </w:r>
      <w:r>
        <w:rPr>
          <w:rStyle w:val="c7"/>
          <w:b/>
          <w:bCs/>
          <w:i/>
          <w:iCs/>
          <w:color w:val="000000"/>
          <w:sz w:val="28"/>
          <w:szCs w:val="28"/>
        </w:rPr>
        <w:t xml:space="preserve">профессиональный стандарт не стандартизируют должностные обязанности, а лишь приводят возможные наименования должностей работников, выполняющих ту или иную ОТФ. То же относится к требованиям к образованию, опыту практической работы, особым условиям допуска к работе. Они определены как необходимые для </w:t>
      </w:r>
      <w:r>
        <w:rPr>
          <w:rStyle w:val="c7"/>
          <w:b/>
          <w:bCs/>
          <w:i/>
          <w:iCs/>
          <w:color w:val="000000"/>
          <w:sz w:val="28"/>
          <w:szCs w:val="28"/>
        </w:rPr>
        <w:lastRenderedPageBreak/>
        <w:t xml:space="preserve">выполнения </w:t>
      </w:r>
      <w:proofErr w:type="gramStart"/>
      <w:r>
        <w:rPr>
          <w:rStyle w:val="c7"/>
          <w:b/>
          <w:bCs/>
          <w:i/>
          <w:iCs/>
          <w:color w:val="000000"/>
          <w:sz w:val="28"/>
          <w:szCs w:val="28"/>
        </w:rPr>
        <w:t>соответствующей</w:t>
      </w:r>
      <w:proofErr w:type="gramEnd"/>
      <w:r>
        <w:rPr>
          <w:rStyle w:val="c7"/>
          <w:b/>
          <w:bCs/>
          <w:i/>
          <w:iCs/>
          <w:color w:val="000000"/>
          <w:sz w:val="28"/>
          <w:szCs w:val="28"/>
        </w:rPr>
        <w:t xml:space="preserve"> ОТФ, а не для назначения (избрания) на должность.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5"/>
          <w:color w:val="000000"/>
          <w:sz w:val="28"/>
          <w:szCs w:val="28"/>
        </w:rPr>
        <w:t>Также при использовании профессионального стандарта необходимо учитывать, что характеристика полномочий и ответственности деятельности, характер умений и знаний, обеспечивающих ее выполнение, определяется </w:t>
      </w:r>
      <w:r>
        <w:rPr>
          <w:rStyle w:val="c7"/>
          <w:b/>
          <w:bCs/>
          <w:i/>
          <w:iCs/>
          <w:color w:val="000000"/>
          <w:sz w:val="28"/>
          <w:szCs w:val="28"/>
        </w:rPr>
        <w:t>уровнем квалификации ОТФ и ТФ</w:t>
      </w:r>
      <w:r>
        <w:rPr>
          <w:rStyle w:val="c4"/>
          <w:color w:val="000000"/>
          <w:sz w:val="28"/>
          <w:szCs w:val="28"/>
        </w:rPr>
        <w:t> («Уровни квалификации в целях разработки проектов профессиональных стандартов» (утв. приказом Минтруда России от 12 апреля 2013 г. № 148н).</w:t>
      </w:r>
      <w:proofErr w:type="gramEnd"/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В рассматриваемом профессиональном стандарте кроме этого в рамках каждого уровня квалификации определено </w:t>
      </w:r>
      <w:r>
        <w:rPr>
          <w:rStyle w:val="c7"/>
          <w:b/>
          <w:bCs/>
          <w:i/>
          <w:iCs/>
          <w:color w:val="000000"/>
          <w:sz w:val="28"/>
          <w:szCs w:val="28"/>
        </w:rPr>
        <w:t>три подуровня.</w:t>
      </w:r>
      <w:r>
        <w:rPr>
          <w:rStyle w:val="c4"/>
          <w:color w:val="000000"/>
          <w:sz w:val="28"/>
          <w:szCs w:val="28"/>
        </w:rPr>
        <w:t> Это позволяет дифференцировать различия между ТФ, которые относятся к одному уровню квалификации, но различаются по уровню полномочий и ответственности (степень самостоятельности, масштаб деятельности, полнота реализации функций руководства), характеру умений (прежде всего, необходимости разработки новых способов решения задач профессиональной деятельности), характеру (</w:t>
      </w:r>
      <w:proofErr w:type="spellStart"/>
      <w:r>
        <w:rPr>
          <w:rStyle w:val="c4"/>
          <w:color w:val="000000"/>
          <w:sz w:val="28"/>
          <w:szCs w:val="28"/>
        </w:rPr>
        <w:t>наукоемкости</w:t>
      </w:r>
      <w:proofErr w:type="spellEnd"/>
      <w:r>
        <w:rPr>
          <w:rStyle w:val="c4"/>
          <w:color w:val="000000"/>
          <w:sz w:val="28"/>
          <w:szCs w:val="28"/>
        </w:rPr>
        <w:t>) знаний.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Системное и </w:t>
      </w:r>
      <w:proofErr w:type="spellStart"/>
      <w:r>
        <w:rPr>
          <w:rStyle w:val="c4"/>
          <w:color w:val="000000"/>
          <w:sz w:val="28"/>
          <w:szCs w:val="28"/>
        </w:rPr>
        <w:t>операциональное</w:t>
      </w:r>
      <w:proofErr w:type="spellEnd"/>
      <w:r>
        <w:rPr>
          <w:rStyle w:val="c4"/>
          <w:color w:val="000000"/>
          <w:sz w:val="28"/>
          <w:szCs w:val="28"/>
        </w:rPr>
        <w:t xml:space="preserve"> описание профессиональной деятельности путем ее декомпозиции на обобщенные трудовые функции (ОТФ) и трудовые функции (ТФ) с указанием их уровня (подуровня) квалификации делает профессиональный стандарт гибким, удобным для решения задач подготовки и управления кадрами: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планирования потребности, подбора и расстановки кадров, совершенствования системы разделения труда и организации взаимодействия педагогов;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определения должностных обязанностей конкретного педагога с учетом уровня его подготовленности и опыта, а также потребностей и особенностей деятельности организации;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- формирования требований к результатам освоения основных и дополнительных профессиональных программ, вариативной системы подготовки педагогических кадров и индивидуальных траекторий </w:t>
      </w:r>
      <w:r>
        <w:rPr>
          <w:rStyle w:val="c4"/>
          <w:color w:val="000000"/>
          <w:sz w:val="28"/>
          <w:szCs w:val="28"/>
        </w:rPr>
        <w:lastRenderedPageBreak/>
        <w:t>профессионального развития, ведущих к получению той или иной квалификации;</w:t>
      </w:r>
    </w:p>
    <w:p w:rsidR="007B19B9" w:rsidRDefault="007B19B9" w:rsidP="007B19B9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создания «прозрачной» системы оплаты труда, в т.ч. с использованием «эффективного контракта».</w:t>
      </w:r>
    </w:p>
    <w:p w:rsidR="007B19B9" w:rsidRDefault="007B19B9" w:rsidP="007B19B9">
      <w:pPr>
        <w:pStyle w:val="c3"/>
        <w:shd w:val="clear" w:color="auto" w:fill="FFFFFF"/>
        <w:spacing w:before="0" w:beforeAutospacing="0" w:after="0" w:afterAutospacing="0" w:line="360" w:lineRule="auto"/>
        <w:ind w:firstLine="710"/>
        <w:rPr>
          <w:rFonts w:ascii="Calibri" w:hAnsi="Calibri" w:cs="Calibri"/>
          <w:color w:val="000000"/>
          <w:sz w:val="22"/>
          <w:szCs w:val="22"/>
        </w:rPr>
      </w:pPr>
    </w:p>
    <w:p w:rsidR="00317D27" w:rsidRDefault="00317D27" w:rsidP="007B19B9">
      <w:pPr>
        <w:spacing w:line="360" w:lineRule="auto"/>
      </w:pPr>
    </w:p>
    <w:sectPr w:rsidR="00317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7B19B9"/>
    <w:rsid w:val="00317D27"/>
    <w:rsid w:val="007B1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1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B19B9"/>
    <w:rPr>
      <w:color w:val="0000FF"/>
      <w:u w:val="single"/>
    </w:rPr>
  </w:style>
  <w:style w:type="paragraph" w:customStyle="1" w:styleId="c10">
    <w:name w:val="c10"/>
    <w:basedOn w:val="a"/>
    <w:rsid w:val="007B1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7B19B9"/>
  </w:style>
  <w:style w:type="paragraph" w:customStyle="1" w:styleId="c2">
    <w:name w:val="c2"/>
    <w:basedOn w:val="a"/>
    <w:rsid w:val="007B1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7B1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B19B9"/>
  </w:style>
  <w:style w:type="character" w:customStyle="1" w:styleId="c4">
    <w:name w:val="c4"/>
    <w:basedOn w:val="a0"/>
    <w:rsid w:val="007B19B9"/>
  </w:style>
  <w:style w:type="character" w:customStyle="1" w:styleId="c5">
    <w:name w:val="c5"/>
    <w:basedOn w:val="a0"/>
    <w:rsid w:val="007B19B9"/>
  </w:style>
  <w:style w:type="character" w:customStyle="1" w:styleId="c7">
    <w:name w:val="c7"/>
    <w:basedOn w:val="a0"/>
    <w:rsid w:val="007B19B9"/>
  </w:style>
  <w:style w:type="paragraph" w:customStyle="1" w:styleId="c3">
    <w:name w:val="c3"/>
    <w:basedOn w:val="a"/>
    <w:rsid w:val="007B1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0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814</Words>
  <Characters>4644</Characters>
  <Application>Microsoft Office Word</Application>
  <DocSecurity>0</DocSecurity>
  <Lines>38</Lines>
  <Paragraphs>10</Paragraphs>
  <ScaleCrop>false</ScaleCrop>
  <Company>Grizli777</Company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2020-04-14T08:51:00Z</dcterms:created>
  <dcterms:modified xsi:type="dcterms:W3CDTF">2020-04-14T08:57:00Z</dcterms:modified>
</cp:coreProperties>
</file>