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569" w:rsidRPr="00044A8E" w:rsidRDefault="00334569" w:rsidP="00044A8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 xml:space="preserve">Система работы по обогащению сенсорного опыта дошкольника среднего возраста посредством использования блоков </w:t>
      </w:r>
      <w:proofErr w:type="spellStart"/>
      <w:r w:rsidRPr="00044A8E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Дьенеша</w:t>
      </w:r>
      <w:proofErr w:type="spellEnd"/>
    </w:p>
    <w:p w:rsidR="00334569" w:rsidRPr="00044A8E" w:rsidRDefault="00334569" w:rsidP="00044A8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Дошкольный</w:t>
      </w:r>
      <w:r w:rsidRPr="00044A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период </w:t>
      </w:r>
      <w:proofErr w:type="gramStart"/>
      <w:r w:rsidRPr="00044A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это</w:t>
      </w:r>
      <w:proofErr w:type="gramEnd"/>
      <w:r w:rsidRPr="00044A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один из важных критических периодов развития, характеризующийся высокими темпами психофизиологического созревания. Малыш появляется на свет с уже вполне сформировавшимися органами чувств, но ещё не способными к активному функционированию; умению пользоваться своими ощущениями он должен научиться. Если усвоение происходит стихийно, без разумного педагогического руководства взрослых, оно нередко оказывается поверхностным, неполноценным. Здесь то и приходит на помощь </w:t>
      </w:r>
      <w:r w:rsidRPr="00044A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сенсорное развитие</w:t>
      </w:r>
      <w:r w:rsidRPr="00044A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34569" w:rsidRPr="00044A8E" w:rsidRDefault="00334569" w:rsidP="00044A8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Блоки </w:t>
      </w:r>
      <w:proofErr w:type="spellStart"/>
      <w:r w:rsidRPr="00044A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Дьенеша</w:t>
      </w:r>
      <w:proofErr w:type="spellEnd"/>
      <w:r w:rsidRPr="00044A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универсальный дидактический материал, позволяющий успешно реализовывать задачи </w:t>
      </w:r>
      <w:r w:rsidRPr="00044A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сенсорного развития детей</w:t>
      </w:r>
      <w:r w:rsidRPr="00044A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Дидактическое пособие </w:t>
      </w:r>
      <w:r w:rsidRPr="00044A8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«Логические </w:t>
      </w:r>
      <w:r w:rsidRPr="00044A8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блоки </w:t>
      </w:r>
      <w:proofErr w:type="spellStart"/>
      <w:r w:rsidRPr="00044A8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Дьенеша</w:t>
      </w:r>
      <w:proofErr w:type="spellEnd"/>
      <w:r w:rsidRPr="00044A8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044A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давно и успешно </w:t>
      </w:r>
      <w:r w:rsidRPr="00044A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используется в дошкольной</w:t>
      </w:r>
      <w:r w:rsidRPr="00044A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педагогике всего мира. Своё название оно получило по имени автора, </w:t>
      </w:r>
      <w:bookmarkStart w:id="0" w:name="_GoBack"/>
      <w:bookmarkEnd w:id="0"/>
      <w:r w:rsidRPr="00044A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венгерского психолога и математика</w:t>
      </w:r>
      <w:r w:rsidR="00044A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044A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Золтана</w:t>
      </w:r>
      <w:proofErr w:type="spellEnd"/>
      <w:r w:rsidRPr="00044A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044A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Дьенеша</w:t>
      </w:r>
      <w:proofErr w:type="spellEnd"/>
      <w:r w:rsidRPr="00044A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44A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разработавшего</w:t>
      </w:r>
      <w:r w:rsidRPr="00044A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данное пособие для обучения математике и развития логического мышления у детей в игровой форме.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44A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Незаменимым материалом для сенсорного развития младших дошкольников, закрепления основных сенсорных эталонов (форма, размер, цвет, толщина) являются блоки </w:t>
      </w:r>
      <w:proofErr w:type="spellStart"/>
      <w:r w:rsidRPr="00044A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Дьенеша</w:t>
      </w:r>
      <w:proofErr w:type="spellEnd"/>
      <w:r w:rsidRPr="00044A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44A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 xml:space="preserve">Посредством блоков </w:t>
      </w:r>
      <w:proofErr w:type="spellStart"/>
      <w:r w:rsidRPr="00044A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Дьенеша</w:t>
      </w:r>
      <w:proofErr w:type="spellEnd"/>
      <w:r w:rsidRPr="00044A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возможно научить ребенка не только узнавать и называть какое-либо свойство предмета, формировать представление об их многообразии и совокупности проявления каждого из свойств (треугольник может быть большой и маленький, толстый и тонкий, желтый, красный и синий), но и заложить умение сравнивать, анализировать. Игры – занятия с блоками </w:t>
      </w:r>
      <w:proofErr w:type="spellStart"/>
      <w:r w:rsidRPr="00044A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Дьенеша</w:t>
      </w:r>
      <w:proofErr w:type="spellEnd"/>
      <w:r w:rsidRPr="00044A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позволяют ребенку овладеть предметными действиями, способствуют развитию воображения, способности к моделированию и конструированию, развивают наглядно-действенное мышление, формируя переход к наглядно-образному и логическому мышлению, Игры с блоками способствуют развитию координации движений, развитию речи. Дети начинают использовать более сложные грамматические структуры предложений в речи на основе сравнения, отрицания и группировки однородных предметов. Способствуют развитию внимания, памяти, воспитывают самостоятельность, инициативу, настойчивость в достижении цели.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44A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Комплект «Логические блоки </w:t>
      </w:r>
      <w:proofErr w:type="spellStart"/>
      <w:r w:rsidRPr="00044A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Дьнеша</w:t>
      </w:r>
      <w:proofErr w:type="spellEnd"/>
      <w:r w:rsidRPr="00044A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состоит из 48 блоков, отличающихся по цвету, форме, величине, толщине, т.е. все блоки - разные.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44A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 Использование игровых методов и приемов, сюжетов, сказочных персонажей, схем вызывает постоянный интерес к игре с фигурками. Игровые приемы обеспечивают динамичность процесса обучения, максимально удовлетворяют потребности ребенка в самостоятельности – речевой и поведенческой (движения, действия и т.п.) Основной упор сделан на применении дидактических игр и игровых упражнений, которые могут проводиться в комплексе и самостоятельно, в зависимости от уровня развития и подготовленности ребенка к восприятию.</w:t>
      </w:r>
    </w:p>
    <w:p w:rsidR="00044A8E" w:rsidRPr="00044A8E" w:rsidRDefault="00044A8E" w:rsidP="00044A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    Цель </w:t>
      </w:r>
      <w:proofErr w:type="gramStart"/>
      <w:r w:rsidRPr="00044A8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работы:  </w:t>
      </w:r>
      <w:r w:rsidRPr="00044A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обогащение</w:t>
      </w:r>
      <w:proofErr w:type="gramEnd"/>
      <w:r w:rsidRPr="00044A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чувственного опыта детей младшего дошкольного возраста, формирование предпосылок для дальнейшего умственного развития.</w:t>
      </w:r>
    </w:p>
    <w:p w:rsidR="00044A8E" w:rsidRPr="00044A8E" w:rsidRDefault="00044A8E" w:rsidP="00044A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     Задачи: </w:t>
      </w:r>
    </w:p>
    <w:p w:rsidR="00044A8E" w:rsidRPr="00044A8E" w:rsidRDefault="00044A8E" w:rsidP="00044A8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4A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Создать условия для обогащения чувственного опыта, необходимого для полноценного восприятия окружающего мира, и накопления сенсорного опыта </w:t>
      </w:r>
      <w:r w:rsidRPr="00044A8E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детей в ходе предметно-игровой деятельности через игры с дидактическим материалом – блоками </w:t>
      </w:r>
      <w:proofErr w:type="spellStart"/>
      <w:r w:rsidRPr="00044A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Дьенеша</w:t>
      </w:r>
      <w:proofErr w:type="spellEnd"/>
      <w:r w:rsidRPr="00044A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044A8E" w:rsidRPr="00044A8E" w:rsidRDefault="00044A8E" w:rsidP="00044A8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4A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Способствовать формированию умения ориентироваться в различных свойствах предметов (цвете, величине, форме, количестве, положении в пространстве и пр.).</w:t>
      </w:r>
    </w:p>
    <w:p w:rsidR="00044A8E" w:rsidRPr="00044A8E" w:rsidRDefault="00044A8E" w:rsidP="00044A8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4A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Способствовать развитию способности наглядного моделирования.</w:t>
      </w:r>
    </w:p>
    <w:p w:rsidR="00044A8E" w:rsidRPr="00044A8E" w:rsidRDefault="00044A8E" w:rsidP="00044A8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4A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Способствовать воспитанию первичных волевых черт характера в процессе овладения целенаправленными действиями с предметами (умение не отвлекаться от поставленной задачи, доводить ее до завершения, стремиться к получению положительного результата и т.д.), эмоционально-положительное отношение к сверстникам в игре.</w:t>
      </w:r>
    </w:p>
    <w:p w:rsidR="00044A8E" w:rsidRPr="00044A8E" w:rsidRDefault="00044A8E" w:rsidP="00044A8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4A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Способствовать развитию сенсорных способностей, пальцевой моторики, формированию обследовательских навыков.</w:t>
      </w:r>
    </w:p>
    <w:p w:rsidR="00044A8E" w:rsidRPr="00044A8E" w:rsidRDefault="00044A8E" w:rsidP="00044A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    Основные принципы:</w:t>
      </w:r>
    </w:p>
    <w:p w:rsidR="00044A8E" w:rsidRPr="00044A8E" w:rsidRDefault="00044A8E" w:rsidP="00044A8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Принцип занимательности - </w:t>
      </w:r>
      <w:r w:rsidRPr="00044A8E">
        <w:rPr>
          <w:rFonts w:ascii="Times New Roman" w:eastAsia="Times New Roman" w:hAnsi="Times New Roman" w:cs="Times New Roman"/>
          <w:sz w:val="28"/>
          <w:lang w:eastAsia="ru-RU"/>
        </w:rPr>
        <w:t>используется с целью вовлечения детей в целенаправленную деятельность, формирования у них желания выполнять предъявленные требования и стремление к достижению конечного результата.</w:t>
      </w:r>
    </w:p>
    <w:p w:rsidR="00044A8E" w:rsidRPr="00044A8E" w:rsidRDefault="00044A8E" w:rsidP="00044A8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Принцип новизны - </w:t>
      </w:r>
      <w:r w:rsidRPr="00044A8E">
        <w:rPr>
          <w:rFonts w:ascii="Times New Roman" w:eastAsia="Times New Roman" w:hAnsi="Times New Roman" w:cs="Times New Roman"/>
          <w:sz w:val="28"/>
          <w:lang w:eastAsia="ru-RU"/>
        </w:rPr>
        <w:t>позволяет опираться на непроизвольное внимание, вызывая интерес к работе, за счёт постановки последовательной системы задач, активизируя познавательную сферу.</w:t>
      </w:r>
    </w:p>
    <w:p w:rsidR="00044A8E" w:rsidRPr="00044A8E" w:rsidRDefault="00044A8E" w:rsidP="00044A8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Принцип динамичности - </w:t>
      </w:r>
      <w:r w:rsidRPr="00044A8E">
        <w:rPr>
          <w:rFonts w:ascii="Times New Roman" w:eastAsia="Times New Roman" w:hAnsi="Times New Roman" w:cs="Times New Roman"/>
          <w:sz w:val="28"/>
          <w:lang w:eastAsia="ru-RU"/>
        </w:rPr>
        <w:t>заключается в постановке целей по обучению и развития ребёнка, которые постоянно углубляются и расширяются, чтобы повысить интерес и внимание детей к обучению.</w:t>
      </w:r>
    </w:p>
    <w:p w:rsidR="00044A8E" w:rsidRPr="00044A8E" w:rsidRDefault="00044A8E" w:rsidP="00044A8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Принцип сотрудничества - </w:t>
      </w:r>
      <w:r w:rsidRPr="00044A8E">
        <w:rPr>
          <w:rFonts w:ascii="Times New Roman" w:eastAsia="Times New Roman" w:hAnsi="Times New Roman" w:cs="Times New Roman"/>
          <w:sz w:val="28"/>
          <w:lang w:eastAsia="ru-RU"/>
        </w:rPr>
        <w:t>позволяет создать в ходе продуктивной деятельности, доброжелательное отношение друг к другу и взаимопомощь. </w:t>
      </w:r>
    </w:p>
    <w:p w:rsidR="00044A8E" w:rsidRPr="00044A8E" w:rsidRDefault="00044A8E" w:rsidP="00044A8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Систематичности и последовательности – </w:t>
      </w:r>
      <w:r w:rsidRPr="00044A8E">
        <w:rPr>
          <w:rFonts w:ascii="Times New Roman" w:eastAsia="Times New Roman" w:hAnsi="Times New Roman" w:cs="Times New Roman"/>
          <w:sz w:val="28"/>
          <w:lang w:eastAsia="ru-RU"/>
        </w:rPr>
        <w:t>предполагает, что знания и умения неразрывно связаны между собой и образуют целостную систему, то есть учебный материал усваивается в результате постоянных упражнений и тренировок.</w:t>
      </w:r>
    </w:p>
    <w:p w:rsidR="00044A8E" w:rsidRPr="00044A8E" w:rsidRDefault="00044A8E" w:rsidP="00044A8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Учет возрастных и индивидуальных особенностей – </w:t>
      </w:r>
      <w:r w:rsidRPr="00044A8E">
        <w:rPr>
          <w:rFonts w:ascii="Times New Roman" w:eastAsia="Times New Roman" w:hAnsi="Times New Roman" w:cs="Times New Roman"/>
          <w:sz w:val="28"/>
          <w:lang w:eastAsia="ru-RU"/>
        </w:rPr>
        <w:t>основывается на знании анатомо-физиологических и психических, возрастных и индивидуальных особенностей ребенка.</w:t>
      </w:r>
    </w:p>
    <w:p w:rsidR="00044A8E" w:rsidRPr="00044A8E" w:rsidRDefault="00044A8E" w:rsidP="00044A8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Научности – </w:t>
      </w:r>
      <w:r w:rsidRPr="00044A8E">
        <w:rPr>
          <w:rFonts w:ascii="Times New Roman" w:eastAsia="Times New Roman" w:hAnsi="Times New Roman" w:cs="Times New Roman"/>
          <w:sz w:val="28"/>
          <w:lang w:eastAsia="ru-RU"/>
        </w:rPr>
        <w:t>заключается в формировании у детей системы научных знаний, в анализе и синтезе предметов, выделениях в нем важных, существенных признаков (цвет, форма, величина), в выявлении возможных межпредметных связей, в использовании принятых научных терминов (например, квадрат, прямоугольник, треугольник, круг и пр.).</w:t>
      </w:r>
    </w:p>
    <w:p w:rsidR="00044A8E" w:rsidRPr="00044A8E" w:rsidRDefault="00044A8E" w:rsidP="00044A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044A8E" w:rsidRPr="00044A8E" w:rsidRDefault="00044A8E" w:rsidP="00044A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Различные виды дидактических игр направлены:</w:t>
      </w:r>
    </w:p>
    <w:p w:rsidR="00044A8E" w:rsidRPr="00044A8E" w:rsidRDefault="00044A8E" w:rsidP="00044A8E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восприятие формы;</w:t>
      </w:r>
    </w:p>
    <w:p w:rsidR="00044A8E" w:rsidRPr="00044A8E" w:rsidRDefault="00044A8E" w:rsidP="00044A8E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целенаправленное развитие восприятия цвета;</w:t>
      </w:r>
    </w:p>
    <w:p w:rsidR="00044A8E" w:rsidRPr="00044A8E" w:rsidRDefault="00044A8E" w:rsidP="00044A8E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восприятие качеств величины;</w:t>
      </w:r>
    </w:p>
    <w:p w:rsidR="00044A8E" w:rsidRPr="00044A8E" w:rsidRDefault="00044A8E" w:rsidP="00044A8E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количество предметов;</w:t>
      </w:r>
    </w:p>
    <w:p w:rsidR="00044A8E" w:rsidRPr="00044A8E" w:rsidRDefault="00044A8E" w:rsidP="00044A8E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развитие речи, мышления;</w:t>
      </w:r>
    </w:p>
    <w:p w:rsidR="00044A8E" w:rsidRPr="00044A8E" w:rsidRDefault="00044A8E" w:rsidP="00044A8E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развитие способности действия наглядного моделирования.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Сейчас я познакомлю вас с некоторыми играми, которые я провожу с детьми моей группы. Эти игры способствуют более углубленному сенсорному развитию детей 3-4 лет.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С детьми 3-4 лет уместны простые игры и упражнения, цель которых освоение свойств, слов «такой же», «не такой» по форме, цвету, размеру, толщине.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Сначала предлагаются самые простые игры: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1).  </w:t>
      </w: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«Найди все фигуры (блоки), как </w:t>
      </w:r>
      <w:proofErr w:type="gramStart"/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эта»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цвету, по размеру, форме)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«Найди не такую фигуру, как </w:t>
      </w:r>
      <w:proofErr w:type="gramStart"/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эта»   </w:t>
      </w:r>
      <w:proofErr w:type="gramEnd"/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цвету, форме, размеру)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2). </w:t>
      </w: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«Найди все такие фигуры, как </w:t>
      </w:r>
      <w:proofErr w:type="gramStart"/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эта»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(по цвету и форме, по форме и размеру, по размеру и цвету)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«Найди не такие фигуры, как эта» (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цвету и размеру, по цвету и форме, по форме и размеру, по цвету, размеру и форме)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«Найди такие же, как эта (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цвету, но другой формы; такие же по форме, но другого размера; такие же по размеру, но другого цвета)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Более сложный вариант: </w:t>
      </w: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«Найди такие же, как эта фигура»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цвету и форме, но другие по размеру; такие же по размеру и цвету, но другие по форме; такие же по форме и размеру, но другого цвета).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1. «Цвет, классификация по одному признаку»: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«Какой это цвет?»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«Что нам привез Мишутка?»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«Найди пару»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2. «Цвет и форма, классификация по одному признаку».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«Какой это формы?»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«Что нам привез Зайчишка?»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«Угости матрешек печеньем»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«Укрась елки игрушками»: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 елочки: низкую – маленькими </w:t>
      </w:r>
      <w:proofErr w:type="gramStart"/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блоками,  высокую</w:t>
      </w:r>
      <w:proofErr w:type="gramEnd"/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большими блоками. Усложнение: (по величине и по толщине) низкую – тонкими блоками, высокую толстыми, большими; (по форме и цвету) низкую – круглыми, желтыми игрушками, высокую – квадратными, синими. Украсить елочку бусами, используя карточки с алгоритмами. На елочке может быть 2 или 3 ряда бус.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3.  «На развитие тактильных ощущений»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«Чудесный мешочек»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ощупь достать все круглые блоки (все большие или все толстые), достать фигуру и охарактеризовать ее.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«Отгадай фигуру» 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условному обозначению – схематическое изображение геометрических фигур)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«Продолжи дорожку»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4. «Цвет и форма, классификация по двум признакам»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«Какого цвета и формы?»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«Что лежит в корзине?»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«Построй домик»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«Приготовим компот»: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поможем бабушке приготовить компот. В банку с красной крышкой, нужно положить только красные «ягодки» и обратить внимание на значок, если треугольник, то в банку положить только красные треугольные «ягодки».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5. «Цвет, форма, величина, классификация по трем признакам»: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«Какого цвета, формы и величины?»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«Садовники»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«Угадай фигуру»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6. «Цвет, форма и величина, классификация по трем признакам»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отрицание (игра с двумя обручами):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«Угадай фигуру»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ab/>
        <w:t>«Бусы для мамы», «Цепочка»: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рядом не было фигур одинаковой формы (цвета, размера, толщины); чтобы рядом не было одинаковых по форме и цвету фигур (по цвету и размеру; по размеру и форме, по толщине); чтобы рядом были фигуры одинаковые по размеру, но разные по форме и т.д.; чтобы рядом были фигуры одинакового цвета и размера, но разной формы (одинакового размера, но разного цвета).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«Второй ряд»: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выложить в ряд 5-6 любых фигур. Построить под ним второй ряд, но так, чтобы под каждой фигурой верхнего ряда6 оказалась фигура другой формы (цвета, размера, толщины); такой же формы, но другого цвета (размера); другая по цвету и размеру; не такая по цвету, форме и размеру.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«Домино».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этой игре одновременно может участвовать не более 4 человек. Фигуры делятся поровну между участниками. Каждый участник поочередно делает свой ход. При отсутствии фигуры ход пропускается. Выигрывает тот, кто первым выложит все фигуры. Ходить можно по-разному: фигурами другого цвета (размера, формы); того же цвета, но другого размера или такого же размера, но другой формы; другого цвета и формы (цвета и размера, (цвета и формы, размера и толщины); такими же фигурами по цвету и форме, но другого размера (такими же по размеру и форме, но другими по цвету); ход фигурами другого цвета, формы, размера и толщины.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«Угостим мишек печеньем», «Раздели фигуры»: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разделить фигуры между мишкой и зайкой, чтобы у зайки были все красные фигуры. Какие фигуры оказались у мишки? (все не красные) А </w:t>
      </w:r>
      <w:proofErr w:type="gramStart"/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зайки</w:t>
      </w:r>
      <w:proofErr w:type="gramEnd"/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(все красные). Разделить по-другому: чтобы у мишки оказались все круглые; чтобы зайцу достались все большие (все желтые). Более сложный вариант: у мишки все синие, а у зайца все квадратные: у мишки синие, не квадратные, у зайки квадратные, не синие. Какие фигуры подошли </w:t>
      </w:r>
      <w:proofErr w:type="gramStart"/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сразу,  мишке</w:t>
      </w:r>
      <w:proofErr w:type="gramEnd"/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зайке? (синие квадратные) Какие никому не подошли? (не синие, не квадратные) Другой вариант: у мишки все треугольные, а </w:t>
      </w:r>
      <w:proofErr w:type="gramStart"/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зайки</w:t>
      </w:r>
      <w:proofErr w:type="gramEnd"/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все большие; мишке все маленькие, а зайке все прямоугольные. Более сложный вариант: разделить фигуры между тремя героями: Буратино – все круглые, Незнайке – все большие, а Чебурашке – все желтые.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7. Цвет, форма и величина, классификация по трем признакам, отрицание (игра с тремя обручами).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8.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Игры на использование наглядного моделирования. </w:t>
      </w:r>
      <w:r w:rsidRPr="00044A8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накладывают блоки на карточку – схему, либо рядом с карточкой.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«Кто быстрее соберет?»</w:t>
      </w:r>
    </w:p>
    <w:p w:rsidR="00044A8E" w:rsidRPr="00044A8E" w:rsidRDefault="00044A8E" w:rsidP="00044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 свое место».</w:t>
      </w:r>
    </w:p>
    <w:p w:rsidR="00B80185" w:rsidRDefault="00044A8E"/>
    <w:sectPr w:rsidR="00B80185" w:rsidSect="00044A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2451C3"/>
    <w:multiLevelType w:val="multilevel"/>
    <w:tmpl w:val="16A41204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A52073"/>
    <w:multiLevelType w:val="multilevel"/>
    <w:tmpl w:val="16A41204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E51F5E"/>
    <w:multiLevelType w:val="multilevel"/>
    <w:tmpl w:val="16A41204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69"/>
    <w:rsid w:val="00021F17"/>
    <w:rsid w:val="00044A8E"/>
    <w:rsid w:val="00056A89"/>
    <w:rsid w:val="0033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90990"/>
  <w15:chartTrackingRefBased/>
  <w15:docId w15:val="{833E44D8-6DFC-4AC3-B8DB-55533D53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38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1560</Words>
  <Characters>8893</Characters>
  <Application>Microsoft Office Word</Application>
  <DocSecurity>0</DocSecurity>
  <Lines>74</Lines>
  <Paragraphs>20</Paragraphs>
  <ScaleCrop>false</ScaleCrop>
  <Company/>
  <LinksUpToDate>false</LinksUpToDate>
  <CharactersWithSpaces>10433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2023-01-30T13:23:00Z</dcterms:created>
  <dcterms:modified xsi:type="dcterms:W3CDTF">2023-01-31T08:37:00Z</dcterms:modified>
</cp:coreProperties>
</file>