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/>
      </w:pPr>
      <w:r>
        <w:rPr>
          <w:rFonts w:cs="Times New Roman" w:ascii="Times New Roman" w:hAnsi="Times New Roman"/>
          <w:b/>
          <w:bCs/>
          <w:sz w:val="32"/>
          <w:szCs w:val="32"/>
        </w:rPr>
        <w:t>Планируемые результаты изучения курса</w:t>
      </w:r>
    </w:p>
    <w:p>
      <w:pPr>
        <w:pStyle w:val="Standard"/>
        <w:spacing w:lineRule="auto" w:line="312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Личностные результаты: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готовность и способность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>
      <w:pPr>
        <w:pStyle w:val="Standard"/>
        <w:spacing w:lineRule="auto" w:line="312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  <w:t>Метапредметные результаты:</w:t>
      </w:r>
    </w:p>
    <w:p>
      <w:pPr>
        <w:pStyle w:val="NoSpacing"/>
        <w:rPr>
          <w:rStyle w:val="ListLabel1"/>
          <w:rFonts w:ascii="Times New Roman" w:hAnsi="Times New Roman" w:cs="Times New Roman"/>
          <w:i/>
          <w:i/>
          <w:sz w:val="28"/>
          <w:szCs w:val="28"/>
        </w:rPr>
      </w:pPr>
      <w:r>
        <w:rPr>
          <w:rStyle w:val="ListLabel1"/>
          <w:rFonts w:cs="Times New Roman" w:ascii="Times New Roman" w:hAnsi="Times New Roman"/>
          <w:i/>
          <w:sz w:val="28"/>
          <w:szCs w:val="28"/>
        </w:rPr>
        <w:t>Регулятивные УУД: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определять и формулировать цель деятельности на занятии с помощью учителя, а далее самостоятельно;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проговаривать последовательность действий;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уметь высказывать своё предположение (версию) на основе данного задания, уметь работать по предложенному учителем плану, а в дальнейшем уметь самостоятельно планировать свою деятельность;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средством формирования этих действий служит технология проблемного диалога на этапе изучения нового материала;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учиться совместно с учителем и другими воспитанниками давать эмоциональную оценку деятельности команды на занятии.</w:t>
      </w:r>
    </w:p>
    <w:p>
      <w:pPr>
        <w:pStyle w:val="NoSpacing"/>
        <w:rPr>
          <w:rStyle w:val="ListLabel1"/>
          <w:rFonts w:ascii="Times New Roman" w:hAnsi="Times New Roman" w:cs="Times New Roman"/>
          <w:i/>
          <w:i/>
          <w:sz w:val="28"/>
          <w:szCs w:val="28"/>
        </w:rPr>
      </w:pPr>
      <w:r>
        <w:rPr>
          <w:rStyle w:val="ListLabel1"/>
          <w:rFonts w:cs="Times New Roman" w:ascii="Times New Roman" w:hAnsi="Times New Roman"/>
          <w:i/>
          <w:sz w:val="28"/>
          <w:szCs w:val="28"/>
        </w:rPr>
        <w:t>Познавательные УУД: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добывать новые знания: находить ответы на вопросы, используя разные источники информации, свой жизненный опыт и информацию, полученную на занятии;</w:t>
      </w:r>
    </w:p>
    <w:p>
      <w:pPr>
        <w:pStyle w:val="NoSpacing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перерабатывать полученную информацию: делать выводы в результате совместной работы всей команды.</w:t>
      </w:r>
    </w:p>
    <w:p>
      <w:pPr>
        <w:pStyle w:val="NoSpacing"/>
        <w:rPr>
          <w:rStyle w:val="ListLabel1"/>
          <w:rFonts w:ascii="Times New Roman" w:hAnsi="Times New Roman" w:cs="Times New Roman"/>
          <w:i/>
          <w:i/>
          <w:sz w:val="28"/>
          <w:szCs w:val="28"/>
        </w:rPr>
      </w:pPr>
      <w:r>
        <w:rPr>
          <w:rStyle w:val="ListLabel1"/>
          <w:rFonts w:cs="Times New Roman" w:ascii="Times New Roman" w:hAnsi="Times New Roman"/>
          <w:i/>
          <w:sz w:val="28"/>
          <w:szCs w:val="28"/>
        </w:rPr>
        <w:t>Коммуникативные УУД:</w:t>
        <w:tab/>
      </w:r>
    </w:p>
    <w:p>
      <w:pPr>
        <w:pStyle w:val="NoSpacing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умение донести свою позицию до других: оформлять свою мысль. Слушать и понимать речь других;</w:t>
      </w:r>
    </w:p>
    <w:p>
      <w:pPr>
        <w:pStyle w:val="NoSpacing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совместно договариваться о правилах общения и поведения в игре и следовать им;</w:t>
      </w:r>
    </w:p>
    <w:p>
      <w:pPr>
        <w:pStyle w:val="NoSpacing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8"/>
          <w:szCs w:val="28"/>
        </w:rPr>
      </w:pPr>
      <w:r>
        <w:rPr>
          <w:rStyle w:val="ListLabel1"/>
          <w:rFonts w:cs="Times New Roman" w:ascii="Times New Roman" w:hAnsi="Times New Roman"/>
          <w:sz w:val="28"/>
          <w:szCs w:val="28"/>
        </w:rPr>
        <w:t>учиться выполнять различные роли в группе (лидера, исполнителя, критика).</w:t>
      </w:r>
    </w:p>
    <w:p>
      <w:pPr>
        <w:pStyle w:val="Standard"/>
        <w:spacing w:lineRule="auto" w:line="312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 xml:space="preserve">В итоге реализации программы </w:t>
      </w:r>
      <w:r>
        <w:rPr>
          <w:rFonts w:cs="Times New Roman" w:ascii="Times New Roman" w:hAnsi="Times New Roman"/>
          <w:sz w:val="28"/>
          <w:szCs w:val="28"/>
        </w:rPr>
        <w:t>уча</w:t>
      </w:r>
      <w:r>
        <w:rPr>
          <w:rFonts w:cs="Times New Roman" w:ascii="Times New Roman" w:hAnsi="Times New Roman"/>
          <w:sz w:val="28"/>
          <w:szCs w:val="28"/>
          <w:lang w:eastAsia="ar-SA"/>
        </w:rPr>
        <w:t xml:space="preserve">щиеся </w:t>
      </w:r>
      <w:r>
        <w:rPr>
          <w:rFonts w:cs="Times New Roman" w:ascii="Times New Roman" w:hAnsi="Times New Roman"/>
          <w:b/>
          <w:bCs/>
          <w:i/>
          <w:sz w:val="28"/>
          <w:szCs w:val="28"/>
          <w:lang w:eastAsia="ar-SA"/>
        </w:rPr>
        <w:t>должны знать: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особенности воздействия двигательной активности на организм человека;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основы рационального питания;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правила оказания первой помощи;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способы сохранения и укрепление здоровья;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основы развития познавательной сферы;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свои права и права других людей;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влияние здоровья на успешную учебную деятельность;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значение физических упражнений для сохранения и укрепления здоровья;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  <w:lang w:eastAsia="ar-SA"/>
        </w:rPr>
        <w:t>должны уметь: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составлять индивидуальный режим дня и соблюдать его;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выполнять физические упражнения для развития физических навыков;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заботиться о своём здоровье;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применять коммуникативные и презентационные навыки;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оказывать первую медицинскую помощь при травмах;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находить выход из стрессовых ситуаций;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адекватно оценивать своё поведение в жизненных ситуациях;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отвечать за свои поступки;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отстаивать свою нравственную позицию в ситуации выбора.</w:t>
      </w:r>
    </w:p>
    <w:p>
      <w:pPr>
        <w:pStyle w:val="NoSpacing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 xml:space="preserve">В ходе реализация программы </w:t>
      </w:r>
      <w:r>
        <w:rPr>
          <w:rFonts w:cs="Times New Roman" w:ascii="Times New Roman" w:hAnsi="Times New Roman"/>
          <w:sz w:val="28"/>
          <w:szCs w:val="28"/>
        </w:rPr>
        <w:t>уча</w:t>
      </w:r>
      <w:r>
        <w:rPr>
          <w:rFonts w:cs="Times New Roman" w:ascii="Times New Roman" w:hAnsi="Times New Roman"/>
          <w:sz w:val="28"/>
          <w:szCs w:val="28"/>
          <w:lang w:eastAsia="ar-SA"/>
        </w:rPr>
        <w:t xml:space="preserve">щиеся </w:t>
      </w:r>
      <w:r>
        <w:rPr>
          <w:rFonts w:cs="Times New Roman" w:ascii="Times New Roman" w:hAnsi="Times New Roman"/>
          <w:b/>
          <w:bCs/>
          <w:i/>
          <w:sz w:val="28"/>
          <w:szCs w:val="28"/>
          <w:lang w:eastAsia="ar-SA"/>
        </w:rPr>
        <w:t>смогут узнать: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значение настольного тенниса в развитии физических способностей и совершенствовании функциональных возможностей организма занимающихся;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правила безопасного поведения во время занятий настольным теннисом;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названия разучиваемых технических приёмов игры и основы правильной техники;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наиболее типичные ошибки при выполнении технических приёмов и тактических действий;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упражнения для развития физических способностей (скоростных, скоростно-силовых, координационных, а также выносливости, гибкости);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контрольные упражнения (двигательные тесты) для оценки физической и технической подготовленности, требования к технике и правилам их выполнения;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основное содержание правил соревнований по настольному теннису;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жесты  судьи;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игровые упражнения, подвижные игры и эстафеты;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  <w:shd w:fill="FFFFFF" w:val="clear"/>
        </w:rPr>
        <w:t>смогут научиться: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соблюдать меры безопасности и правила профилактики травматизма на занятиях настольным теннисом;</w:t>
      </w:r>
    </w:p>
    <w:p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ar-SA"/>
        </w:rPr>
        <w:t>выполнять технические приёмы и тактические действия;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контролировать своё самочувствие (функциональное состояние организма) на занятиях настольным теннисом;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играть в настольный теннис с соблюдением основных правил;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демонстрировать жесты  судьи;</w:t>
      </w:r>
    </w:p>
    <w:p>
      <w:pPr>
        <w:pStyle w:val="NoSpacing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  <w:lang w:eastAsia="ar-SA"/>
        </w:rPr>
        <w:t>проводить судейство по настольному теннису.</w:t>
      </w:r>
    </w:p>
    <w:p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spacing w:lineRule="auto" w:line="312" w:before="0" w:after="0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p>
      <w:pPr>
        <w:pStyle w:val="ListParagraph"/>
        <w:jc w:val="center"/>
        <w:rPr>
          <w:rFonts w:ascii="Times New Roman" w:hAnsi="Times New Roman" w:eastAsia="Arial Unicode MS"/>
          <w:b/>
          <w:b/>
          <w:sz w:val="32"/>
          <w:szCs w:val="32"/>
          <w:lang w:bidi="en-US"/>
        </w:rPr>
      </w:pPr>
      <w:r>
        <w:rPr>
          <w:rFonts w:eastAsia="Arial Unicode MS" w:ascii="Times New Roman" w:hAnsi="Times New Roman"/>
          <w:b/>
          <w:sz w:val="32"/>
          <w:szCs w:val="32"/>
          <w:lang w:bidi="en-US"/>
        </w:rPr>
        <w:t>Содержание курса внеурочной деятельности с указанием форм организации и видов деятельности</w:t>
      </w:r>
    </w:p>
    <w:p>
      <w:pPr>
        <w:pStyle w:val="Standard"/>
        <w:spacing w:lineRule="auto" w:line="312" w:before="0" w:after="0"/>
        <w:rPr/>
      </w:pPr>
      <w:r>
        <w:rPr/>
      </w:r>
    </w:p>
    <w:tbl>
      <w:tblPr>
        <w:tblW w:w="11341" w:type="dxa"/>
        <w:jc w:val="left"/>
        <w:tblInd w:w="-132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/>
      </w:tblPr>
      <w:tblGrid>
        <w:gridCol w:w="425"/>
        <w:gridCol w:w="2553"/>
        <w:gridCol w:w="2407"/>
        <w:gridCol w:w="4820"/>
        <w:gridCol w:w="1136"/>
      </w:tblGrid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rFonts w:eastAsia="Arial Unicode MS" w:ascii="Times New Roman" w:hAnsi="Times New Roman"/>
                <w:b/>
                <w:sz w:val="28"/>
                <w:szCs w:val="28"/>
                <w:lang w:bidi="en-US"/>
              </w:rPr>
              <w:t>Форма организации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  <w:lang w:eastAsia="ar-SA"/>
              </w:rPr>
            </w:pPr>
            <w:r>
              <w:rPr>
                <w:rFonts w:eastAsia="Arial Unicode MS" w:ascii="Times New Roman" w:hAnsi="Times New Roman"/>
                <w:b/>
                <w:sz w:val="28"/>
                <w:szCs w:val="28"/>
                <w:lang w:bidi="en-US"/>
              </w:rPr>
              <w:t>Вид деятельности обучающихся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ar-SA"/>
              </w:rPr>
              <w:t>Кол-во часов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Теоретическая подготовка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Аудиторное занятие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eastAsia="Arial Unicode MS"/>
                <w:sz w:val="28"/>
                <w:szCs w:val="28"/>
                <w:lang w:bidi="en-US"/>
              </w:rPr>
            </w:pPr>
            <w:r>
              <w:rPr/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sz w:val="28"/>
                <w:szCs w:val="28"/>
              </w:rPr>
              <w:t>2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Физическая подготовка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Спортивно-оздоровительная деятельность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Способы перемещения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Спортивно-оздоровительная деятельность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Защитные и промежуточные удары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Спортивно-оздоровительная деятельность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Подвижные игры и эстафеты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Соревнования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Игровая и познавательная деятельность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Нормативы и соревнования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Arial Unicode MS" w:ascii="Times New Roman" w:hAnsi="Times New Roman"/>
                <w:sz w:val="28"/>
                <w:szCs w:val="28"/>
                <w:lang w:bidi="en-US"/>
              </w:rPr>
              <w:t>Спортивно-оздоровительная деятельность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sz w:val="28"/>
                <w:szCs w:val="28"/>
              </w:rPr>
              <w:t>10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1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02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часов</w:t>
            </w:r>
          </w:p>
        </w:tc>
      </w:tr>
    </w:tbl>
    <w:p>
      <w:pPr>
        <w:pStyle w:val="Standard"/>
        <w:spacing w:lineRule="auto" w:line="312" w:before="0" w:after="0"/>
        <w:jc w:val="center"/>
        <w:rPr>
          <w:rFonts w:ascii="Times New Roman" w:hAnsi="Times New Roman" w:eastAsia="Times New Roman" w:cs="Times New Roman"/>
          <w:b/>
          <w:b/>
          <w:sz w:val="32"/>
          <w:szCs w:val="32"/>
          <w:lang w:eastAsia="ar-SA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lang w:eastAsia="ar-SA"/>
        </w:rPr>
      </w:r>
    </w:p>
    <w:p>
      <w:pPr>
        <w:pStyle w:val="Standard"/>
        <w:spacing w:lineRule="auto" w:line="312" w:before="0" w:after="0"/>
        <w:jc w:val="center"/>
        <w:rPr>
          <w:rFonts w:ascii="Times New Roman" w:hAnsi="Times New Roman" w:eastAsia="Times New Roman" w:cs="Times New Roman"/>
          <w:b/>
          <w:b/>
          <w:sz w:val="32"/>
          <w:szCs w:val="32"/>
          <w:lang w:eastAsia="ar-SA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lang w:eastAsia="ar-SA"/>
        </w:rPr>
      </w:r>
    </w:p>
    <w:p>
      <w:pPr>
        <w:pStyle w:val="Standard"/>
        <w:spacing w:lineRule="auto" w:line="312" w:before="0" w:after="0"/>
        <w:jc w:val="center"/>
        <w:rPr>
          <w:rFonts w:ascii="Times New Roman" w:hAnsi="Times New Roman" w:eastAsia="Times New Roman" w:cs="Times New Roman"/>
          <w:b/>
          <w:b/>
          <w:sz w:val="32"/>
          <w:szCs w:val="32"/>
          <w:lang w:eastAsia="ar-SA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lang w:eastAsia="ar-SA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bookmarkStart w:id="0" w:name="_GoBack"/>
      <w:bookmarkStart w:id="1" w:name="_GoBack"/>
      <w:bookmarkEnd w:id="1"/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sz w:val="36"/>
          <w:szCs w:val="36"/>
          <w:lang w:eastAsia="en-US"/>
        </w:rPr>
      </w:r>
    </w:p>
    <w:p>
      <w:pPr>
        <w:pStyle w:val="Normal"/>
        <w:widowControl/>
        <w:suppressAutoHyphens w:val="false"/>
        <w:spacing w:lineRule="auto" w:line="259"/>
        <w:jc w:val="center"/>
        <w:textAlignment w:val="auto"/>
        <w:rPr>
          <w:rFonts w:ascii="Times New Roman" w:hAnsi="Times New Roman" w:eastAsia="Calibri" w:cs="Times New Roman" w:eastAsiaTheme="minorHAnsi"/>
          <w:b/>
          <w:b/>
          <w:sz w:val="36"/>
          <w:szCs w:val="36"/>
          <w:lang w:eastAsia="en-US"/>
        </w:rPr>
      </w:pPr>
      <w:r>
        <w:rPr>
          <w:rFonts w:eastAsia="Calibri" w:cs="Times New Roman" w:ascii="Times New Roman" w:hAnsi="Times New Roman" w:eastAsiaTheme="minorHAnsi"/>
          <w:b/>
          <w:sz w:val="36"/>
          <w:szCs w:val="36"/>
          <w:lang w:eastAsia="en-US"/>
        </w:rPr>
        <w:t>Тематическое планирование</w:t>
      </w:r>
    </w:p>
    <w:tbl>
      <w:tblPr>
        <w:tblStyle w:val="ac"/>
        <w:tblW w:w="11341" w:type="dxa"/>
        <w:jc w:val="left"/>
        <w:tblInd w:w="-1438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272"/>
        <w:gridCol w:w="10068"/>
      </w:tblGrid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b/>
                <w:b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b/>
                <w:b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8"/>
                <w:szCs w:val="28"/>
                <w:lang w:eastAsia="en-US"/>
              </w:rPr>
              <w:t>Тема занятия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1-2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Правила Т/Б. ОРУ. Волейбол – история развития. Учебная игра в пионербол.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3-4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Общая физическая подготовка (ОФП). Сдача контрольных нормативов.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5-6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Разучивание стойки игрока (исходные положения).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7-8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ОРУ. Стойка игрока (исходные положения).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9-10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11-12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Разучивание перемещения в стойке приставными шагами: правым, левым боком, лицом вперёд.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13-14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Отработка перемещения в стойке приставными шагами: правым, левым боком, лицом вперёд.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15-16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Применение перемещения в стойке приставными шагами: правым, левым боком, лицом вперёд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17-18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Совершенствование способов перемещения в стойке приставными шагами: правым, левым боком, лицом вперёд.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19-20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21-22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23-24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Упражнения на развитие гибкости.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25-26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Разучивание сочетаний способов перемещений (бег, остановки, повороты, прыжки вверх).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27-28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Отработка сочетаний способов перемещений (бег, остановки, повороты, прыжки вверх).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29-30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Применение сочетаний способов перемещений (бег, остановки, повороты, прыжки вверх)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31-32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Совершенствование сочетаний способов перемещений (бег, остановки, повороты, прыжки вверх).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33-34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35-36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Подвижные игры,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эстафеты с различными способами перемещений.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37-38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Упражнения на развитие координации.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39-40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Разучивание верхней передачи мяча над собой.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41-42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Отработка верхней передачи мяча над собой.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43-44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Применение верхней передачи мяча над собой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45-46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Совершенствование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верхней передачи мяча над собой.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47-48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49-50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51-52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Упражнения на развитие скорости.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53-54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Разучивание верхней передачи мяча у стены.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55-56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Верхняя передача мяча в парах.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57-58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Отработка верхней передачи мяча у стены, в парах, через сетку.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59-60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61-62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63-64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Упражнения на развитие силы.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65-66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Разучивание верхней прямой подачи с середины площадки.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67-68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Отработка верхней прямой подачи с середины площадки.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69-70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Применение верхней прямой подачи с середины площадки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71-72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Совершенствование верхней прямой подачи с середины площадки.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73-74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75-76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77-78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Упражнение на развитие скоростно-силовой выносливости.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79-80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Разучивание нижней передачи мяча над собой.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81-82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Отработка нижней передачи мяча над собой.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83-84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Применение нижней передачи мяча над собой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85-86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Совершенствование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нижней передачи мяча над собой.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87-88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89-90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91-92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Прыжки через скамейку.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93-94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Разучивание нижней передачи мяча у стены.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95-96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Разучивание нижней передачи мяча в парах.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97-98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 xml:space="preserve"> Отработка нижней передачи мяча у стены, в парах.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99-100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 xml:space="preserve">ОРУ.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101-102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игры.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103-104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ОРУ.ОФП. Прыжки со скакалкой.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105-106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Разучивание защитных действий.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107-108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Отработка защитных действий.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109-110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Применение защитных действий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111-112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Совершенствование защитных действий.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113-114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115-116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117-118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Силовые упражнения с собственным весом.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119-120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Разучивание нижней прямой подачи.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121-122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Отработка нижней прямой подачи.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123-124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Применение нижней прямой подачи в игре.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125-126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Совершенствование нижней прямой подачи.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127-128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Игровое занятие.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129-130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Подвижные игры, эстафеты с элементами гимнастики и волейбола.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131-132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ОФП. Упражнения с гантелями.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133-134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ОРУ. Сдача контрольных нормативов.</w:t>
            </w:r>
          </w:p>
        </w:tc>
      </w:tr>
      <w:tr>
        <w:trPr/>
        <w:tc>
          <w:tcPr>
            <w:tcW w:w="1272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sz w:val="28"/>
                <w:szCs w:val="28"/>
                <w:lang w:eastAsia="en-US"/>
              </w:rPr>
              <w:t>135-136</w:t>
            </w:r>
          </w:p>
        </w:tc>
        <w:tc>
          <w:tcPr>
            <w:tcW w:w="10068" w:type="dxa"/>
            <w:tcBorders/>
            <w:shd w:color="auto" w:fill="auto" w:val="clear"/>
            <w:tcMar>
              <w:left w:w="93" w:type="dxa"/>
            </w:tcMar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textAlignment w:val="auto"/>
              <w:rPr>
                <w:rFonts w:ascii="Times New Roman" w:hAnsi="Times New Roman" w:eastAsia="Calibri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ar-SA"/>
              </w:rPr>
              <w:t>ОРУ. Учебная игра в мини-футбол.</w:t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sz w:val="28"/>
        <w:b/>
        <w:rFonts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sz w:val="28"/>
        <w:b/>
        <w:rFonts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sz w:val="28"/>
        <w:rFonts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sz w:val="28"/>
        <w:rFonts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sz w:val="28"/>
        <w:rFonts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sz w:val="28"/>
        <w:rFonts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413bb"/>
    <w:pPr>
      <w:widowControl w:val="false"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DejaVu Sans" w:cs="F" w:asciiTheme="minorHAnsi" w:hAnsiTheme="minorHAnsi"/>
      <w:color w:val="00000A"/>
      <w:sz w:val="22"/>
      <w:szCs w:val="22"/>
      <w:lang w:val="ru-RU" w:eastAsia="ru-RU" w:bidi="ar-SA"/>
    </w:rPr>
  </w:style>
  <w:style w:type="paragraph" w:styleId="1">
    <w:name w:val="Заголовок 1"/>
    <w:basedOn w:val="Style17"/>
    <w:rsid w:val="00ad7232"/>
    <w:pPr>
      <w:outlineLvl w:val="0"/>
    </w:pPr>
    <w:rPr/>
  </w:style>
  <w:style w:type="paragraph" w:styleId="2">
    <w:name w:val="Заголовок 2"/>
    <w:basedOn w:val="Style17"/>
    <w:rsid w:val="00ad7232"/>
    <w:pPr>
      <w:outlineLvl w:val="1"/>
    </w:pPr>
    <w:rPr/>
  </w:style>
  <w:style w:type="paragraph" w:styleId="3">
    <w:name w:val="Заголовок 3"/>
    <w:basedOn w:val="Style17"/>
    <w:rsid w:val="00ad7232"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sid w:val="00ad7232"/>
    <w:rPr>
      <w:rFonts w:cs="Symbol"/>
    </w:rPr>
  </w:style>
  <w:style w:type="character" w:styleId="ListLabel2" w:customStyle="1">
    <w:name w:val="ListLabel 2"/>
    <w:qFormat/>
    <w:rsid w:val="00ad7232"/>
    <w:rPr>
      <w:rFonts w:cs="Courier New"/>
    </w:rPr>
  </w:style>
  <w:style w:type="character" w:styleId="ListLabel3" w:customStyle="1">
    <w:name w:val="ListLabel 3"/>
    <w:qFormat/>
    <w:rsid w:val="00ad7232"/>
    <w:rPr>
      <w:rFonts w:cs="Wingdings"/>
    </w:rPr>
  </w:style>
  <w:style w:type="character" w:styleId="Style11" w:customStyle="1">
    <w:name w:val="Маркеры списка"/>
    <w:qFormat/>
    <w:rsid w:val="00ad7232"/>
    <w:rPr>
      <w:rFonts w:ascii="OpenSymbol" w:hAnsi="OpenSymbol" w:eastAsia="OpenSymbol" w:cs="OpenSymbol"/>
    </w:rPr>
  </w:style>
  <w:style w:type="character" w:styleId="ListLabel4" w:customStyle="1">
    <w:name w:val="ListLabel 4"/>
    <w:qFormat/>
    <w:rsid w:val="00ad7232"/>
    <w:rPr>
      <w:rFonts w:ascii="Times New Roman" w:hAnsi="Times New Roman" w:cs="Symbol"/>
      <w:b/>
      <w:sz w:val="28"/>
    </w:rPr>
  </w:style>
  <w:style w:type="character" w:styleId="ListLabel5" w:customStyle="1">
    <w:name w:val="ListLabel 5"/>
    <w:qFormat/>
    <w:rsid w:val="00ad7232"/>
    <w:rPr>
      <w:rFonts w:cs="Courier New"/>
    </w:rPr>
  </w:style>
  <w:style w:type="character" w:styleId="ListLabel6" w:customStyle="1">
    <w:name w:val="ListLabel 6"/>
    <w:qFormat/>
    <w:rsid w:val="00ad7232"/>
    <w:rPr>
      <w:rFonts w:cs="Wingdings"/>
    </w:rPr>
  </w:style>
  <w:style w:type="character" w:styleId="ListLabel7" w:customStyle="1">
    <w:name w:val="ListLabel 7"/>
    <w:qFormat/>
    <w:rsid w:val="00ad7232"/>
    <w:rPr>
      <w:rFonts w:cs="OpenSymbol"/>
    </w:rPr>
  </w:style>
  <w:style w:type="character" w:styleId="ListLabel8">
    <w:name w:val="ListLabel 8"/>
    <w:qFormat/>
    <w:rPr>
      <w:rFonts w:ascii="Times New Roman" w:hAnsi="Times New Roman" w:cs="Symbol"/>
      <w:b/>
      <w:sz w:val="28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rFonts w:ascii="Times New Roman" w:hAnsi="Times New Roman" w:cs="Symbol"/>
      <w:sz w:val="28"/>
    </w:rPr>
  </w:style>
  <w:style w:type="character" w:styleId="ListLabel12">
    <w:name w:val="ListLabel 12"/>
    <w:qFormat/>
    <w:rPr>
      <w:rFonts w:ascii="Times New Roman" w:hAnsi="Times New Roman" w:cs="Symbol"/>
      <w:b/>
      <w:sz w:val="28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ascii="Times New Roman" w:hAnsi="Times New Roman" w:cs="Symbol"/>
      <w:sz w:val="28"/>
    </w:rPr>
  </w:style>
  <w:style w:type="paragraph" w:styleId="Style12" w:customStyle="1">
    <w:name w:val="Заголовок"/>
    <w:basedOn w:val="Normal"/>
    <w:next w:val="Style13"/>
    <w:qFormat/>
    <w:rsid w:val="00ad7232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Основной текст"/>
    <w:basedOn w:val="Normal"/>
    <w:rsid w:val="00ad7232"/>
    <w:pPr>
      <w:spacing w:lineRule="auto" w:line="288" w:before="0" w:after="140"/>
    </w:pPr>
    <w:rPr/>
  </w:style>
  <w:style w:type="paragraph" w:styleId="Style14">
    <w:name w:val="Список"/>
    <w:basedOn w:val="Style13"/>
    <w:rsid w:val="00ad7232"/>
    <w:pPr/>
    <w:rPr>
      <w:rFonts w:cs="Ari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Style17" w:customStyle="1">
    <w:name w:val="Заглавие"/>
    <w:basedOn w:val="Normal"/>
    <w:rsid w:val="00ad7232"/>
    <w:pPr/>
    <w:rPr/>
  </w:style>
  <w:style w:type="paragraph" w:styleId="11" w:customStyle="1">
    <w:name w:val="Название1"/>
    <w:basedOn w:val="Normal"/>
    <w:qFormat/>
    <w:rsid w:val="00ad72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ad7232"/>
    <w:pPr>
      <w:suppressLineNumbers/>
    </w:pPr>
    <w:rPr>
      <w:rFonts w:cs="Arial"/>
    </w:rPr>
  </w:style>
  <w:style w:type="paragraph" w:styleId="Standard" w:customStyle="1">
    <w:name w:val="Standard"/>
    <w:qFormat/>
    <w:rsid w:val="00e449a8"/>
    <w:pPr>
      <w:widowControl/>
      <w:suppressAutoHyphens w:val="true"/>
      <w:bidi w:val="0"/>
      <w:spacing w:lineRule="auto" w:line="247" w:before="0" w:after="160"/>
      <w:jc w:val="left"/>
      <w:textAlignment w:val="baseline"/>
    </w:pPr>
    <w:rPr>
      <w:rFonts w:ascii="Calibri" w:hAnsi="Calibri" w:eastAsia="SimSun" w:cs="Calibri"/>
      <w:color w:val="00000A"/>
      <w:sz w:val="22"/>
      <w:szCs w:val="22"/>
      <w:lang w:val="ru-RU" w:eastAsia="en-US" w:bidi="ar-SA"/>
    </w:rPr>
  </w:style>
  <w:style w:type="paragraph" w:styleId="NoSpacing">
    <w:name w:val="No Spacing"/>
    <w:uiPriority w:val="1"/>
    <w:qFormat/>
    <w:rsid w:val="00c80a24"/>
    <w:pPr>
      <w:widowControl w:val="false"/>
      <w:suppressAutoHyphens w:val="true"/>
      <w:bidi w:val="0"/>
      <w:spacing w:lineRule="auto" w:line="240"/>
      <w:jc w:val="left"/>
      <w:textAlignment w:val="baseline"/>
    </w:pPr>
    <w:rPr>
      <w:rFonts w:ascii="Calibri" w:hAnsi="Calibri" w:eastAsia="DejaVu Sans" w:cs="F" w:asciiTheme="minorHAnsi" w:hAnsiTheme="minorHAnsi"/>
      <w:color w:val="00000A"/>
      <w:sz w:val="22"/>
      <w:szCs w:val="22"/>
      <w:lang w:val="ru-RU" w:eastAsia="ru-RU" w:bidi="ar-SA"/>
    </w:rPr>
  </w:style>
  <w:style w:type="paragraph" w:styleId="Style18" w:customStyle="1">
    <w:name w:val="Блочная цитата"/>
    <w:basedOn w:val="Normal"/>
    <w:qFormat/>
    <w:rsid w:val="00ad7232"/>
    <w:pPr/>
    <w:rPr/>
  </w:style>
  <w:style w:type="paragraph" w:styleId="Style19">
    <w:name w:val="Подзаголовок"/>
    <w:basedOn w:val="Style17"/>
    <w:rsid w:val="00ad7232"/>
    <w:pPr/>
    <w:rPr/>
  </w:style>
  <w:style w:type="paragraph" w:styleId="ListParagraph">
    <w:name w:val="List Paragraph"/>
    <w:basedOn w:val="Normal"/>
    <w:uiPriority w:val="34"/>
    <w:qFormat/>
    <w:rsid w:val="00b973a4"/>
    <w:pPr>
      <w:widowControl/>
      <w:suppressAutoHyphens w:val="false"/>
      <w:spacing w:lineRule="auto" w:line="240" w:before="0" w:after="0"/>
      <w:ind w:left="720" w:hanging="0"/>
      <w:contextualSpacing/>
      <w:textAlignment w:val="auto"/>
    </w:pPr>
    <w:rPr>
      <w:rFonts w:ascii="Tahoma" w:hAnsi="Tahoma" w:eastAsia="Times New Roman" w:cs="Tahoma"/>
      <w:color w:val="000000"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2"/>
    <w:uiPriority w:val="39"/>
    <w:rsid w:val="00496c7e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LibreOffice/5.0.1.2$Windows_x86 LibreOffice_project/81898c9f5c0d43f3473ba111d7b351050be20261</Application>
  <Paragraphs>230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2016-08-20T10:10:00Z</dcterms:created>
  <dc:creator>Андрей Филиппов</dc:creator>
  <dc:language>ru-RU</dc:language>
  <dcterms:modified xsi:type="dcterms:W3CDTF">2017-10-03T09:49:41Z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