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465" w:rsidRPr="00F31465" w:rsidRDefault="00F31465" w:rsidP="00F3146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«Влияние занятий шахматами на интеллектуальное развитие 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обучающихся</w:t>
      </w:r>
      <w:r w:rsidRPr="00F3146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»</w:t>
      </w:r>
      <w:bookmarkStart w:id="0" w:name="_GoBack"/>
      <w:bookmarkEnd w:id="0"/>
    </w:p>
    <w:p w:rsidR="00F31465" w:rsidRPr="00F31465" w:rsidRDefault="00F31465" w:rsidP="00F3146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Целью исследования являлась отличительная особенность детей, занимающихся шахматам в спортивной школе, и детей, не занимающихся шахматами.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наблюдении принимали участие учащиеся младших классов в возрасте 7 – 10 лет. В ходе наблюдения были использованы контрольная и экспериментальная группы.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работе нами использовались методы исследования: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анкетирование;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тестирование;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наблюдение;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математический анализ.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Исследование проводилось в городе Райчихинске на базе средней общеобразовательной школы №15, в период с октября по ноябрь 2020 года. В исследовании приняли участие 18 школьников.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I. Для исследования отношения учеников к занятиям шахматами проведено анкетирование школьников, занимающихся и не занимающихся шахматами. Учащимся были предложены следующие анкеты: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показатели мотивации к занятиям шахматами;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я занимаюсь шахматами, потому что это...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первой анкете, детям было предложено ответить на восемь вопросов путём выбора ответов: «Да» или «Нет». Значение каждого ответа выражено в процентах (%).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 второй анкете учащимся было предложено продолжить ответ «Я занимаюсь шахматами, потому что это…» Анкета состояла из шести критериев, которые также оценивались в процентах (%).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II. Для измерения познавательных качеств школьников мы воспользовались тестированием. В ходе тестирования было использовано пять различных тестов: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 оценка произвольного внимания по таблице </w:t>
      </w:r>
      <w:proofErr w:type="spellStart"/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Шульта</w:t>
      </w:r>
      <w:proofErr w:type="spellEnd"/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оценка объёма распределения и переключения внимания;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оценка быстроты мышления;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исследование оперативной памяти;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определение избирательности и концентрации внимания по </w:t>
      </w:r>
      <w:proofErr w:type="spellStart"/>
      <w:r w:rsidRPr="00F3146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Мюнстербергу</w:t>
      </w:r>
      <w:proofErr w:type="spellEnd"/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Виды тестов.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1. Расстановка чисел.</w:t>
      </w: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Тест предназначен для оценки произвольного внимания. По инструкции</w:t>
      </w:r>
      <w:r w:rsidRPr="00F3146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течение 2 минут испытуемые должны расставить в свободных клетках правого квадрата бланка в возрастающем порядке числа, которые расположены в случайном порядке в 25 клетках верхнего квадрата бланка. Числа записываются построчно, никаких отметок в левом квадрате делать нельзя.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производится по количеству правильно записанных чисел.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2. Числовой квадрат.</w:t>
      </w: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Тест предназначен для оценки объёма распределения и переключения внимания. В квадрате с 25 клетками в случайном порядке расположены числа от 1 до 40, а 15 чисел пропущены. Обследуемый должен зачеркнуть в числовом ряду числа, отсутствующие в квадрате. Время на работу – 1,5 минуты. При обработке подсчитывается количество правильных ответов (пропуск, исправление – ошибка). По инструкции квадрат с 25 числами и числовой ряд из 40 чисел необходимо за 1,5 минуты зачеркнуть в числовом ряду числа, отсутствующие в квадрате.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Таблица 3 – Оценка объёма распределения и переключения внимания производится по девятибалльной шкале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9315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987"/>
        <w:gridCol w:w="707"/>
        <w:gridCol w:w="707"/>
        <w:gridCol w:w="707"/>
        <w:gridCol w:w="707"/>
        <w:gridCol w:w="707"/>
        <w:gridCol w:w="707"/>
        <w:gridCol w:w="707"/>
        <w:gridCol w:w="707"/>
        <w:gridCol w:w="672"/>
      </w:tblGrid>
      <w:tr w:rsidR="00F31465" w:rsidRPr="00F31465" w:rsidTr="00F31465">
        <w:tc>
          <w:tcPr>
            <w:tcW w:w="2535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Оценка в баллах</w:t>
            </w:r>
          </w:p>
        </w:tc>
        <w:tc>
          <w:tcPr>
            <w:tcW w:w="60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60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60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60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60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60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60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60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F31465" w:rsidRPr="00F31465" w:rsidTr="00F31465">
        <w:tc>
          <w:tcPr>
            <w:tcW w:w="2535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Количество правильных ответов</w:t>
            </w:r>
          </w:p>
        </w:tc>
        <w:tc>
          <w:tcPr>
            <w:tcW w:w="60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60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60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15-16</w:t>
            </w:r>
          </w:p>
        </w:tc>
        <w:tc>
          <w:tcPr>
            <w:tcW w:w="60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13-14</w:t>
            </w:r>
          </w:p>
        </w:tc>
        <w:tc>
          <w:tcPr>
            <w:tcW w:w="60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10-12</w:t>
            </w:r>
          </w:p>
        </w:tc>
        <w:tc>
          <w:tcPr>
            <w:tcW w:w="60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8-9</w:t>
            </w:r>
          </w:p>
        </w:tc>
        <w:tc>
          <w:tcPr>
            <w:tcW w:w="60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6-7</w:t>
            </w:r>
          </w:p>
        </w:tc>
        <w:tc>
          <w:tcPr>
            <w:tcW w:w="60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57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</w:tr>
    </w:tbl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3. Быстрота мышления.</w:t>
      </w: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Тест позволяет определить темп выполнения ориентировочных и </w:t>
      </w:r>
      <w:proofErr w:type="spellStart"/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операциональных</w:t>
      </w:r>
      <w:proofErr w:type="spellEnd"/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компонентов мышления. В бланке слова, в которых пропущены буквы. По сигналу в течение 3 мин. необходимо определить недостающие буквы. Каждый прочерк означает одну пропущенную букву. Слова должны быть существительными, в единственном числе.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Обработка результатов – необходимо подсчитать количество правильно составленных слов. Показателем быстроты мышления и одновременно показателем подвижности нервных процессов (Н.П.) выступает количество правильно составленных слов: 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менее 20 слов из 40 – низкая быстрота мышления и подвижность Н.П.; 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- 21 – 30 слов – средняя быстрота мышления и подвижность Н.П.; 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- 31 и более слов – высокая быстрота мышления и подвижность Н.П.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4. Оперативная память школьников.</w:t>
      </w:r>
      <w:r w:rsidRPr="00F3146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проведения теста необходим бланк, на котором изображены геометрические фигуры. Два верхних ряда фигур обозначены буквами: а, б, в, г, д, е, ж, з, и, к. Испытуемым необходимо в нижних рядах, обозначенных цифрами, найти фигуры, адекватные верхнему ряду, обозначив их соответствующей буквой.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Уровни </w:t>
      </w:r>
      <w:proofErr w:type="spellStart"/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сформированности</w:t>
      </w:r>
      <w:proofErr w:type="spellEnd"/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оперативной памяти определяются по таблице 4.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Таблица 4 – Уровни </w:t>
      </w:r>
      <w:proofErr w:type="spellStart"/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сформированности</w:t>
      </w:r>
      <w:proofErr w:type="spellEnd"/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оперативной памяти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5445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802"/>
        <w:gridCol w:w="2643"/>
      </w:tblGrid>
      <w:tr w:rsidR="00F31465" w:rsidRPr="00F31465" w:rsidTr="00F31465">
        <w:trPr>
          <w:trHeight w:val="120"/>
        </w:trPr>
        <w:tc>
          <w:tcPr>
            <w:tcW w:w="267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Уровни</w:t>
            </w:r>
          </w:p>
        </w:tc>
        <w:tc>
          <w:tcPr>
            <w:tcW w:w="2445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Количество правильных ответов</w:t>
            </w:r>
          </w:p>
        </w:tc>
      </w:tr>
      <w:tr w:rsidR="00F31465" w:rsidRPr="00F31465" w:rsidTr="00F31465">
        <w:trPr>
          <w:trHeight w:val="150"/>
        </w:trPr>
        <w:tc>
          <w:tcPr>
            <w:tcW w:w="267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Очень высокий</w:t>
            </w:r>
          </w:p>
        </w:tc>
        <w:tc>
          <w:tcPr>
            <w:tcW w:w="2445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</w:tr>
      <w:tr w:rsidR="00F31465" w:rsidRPr="00F31465" w:rsidTr="00F31465">
        <w:trPr>
          <w:trHeight w:val="150"/>
        </w:trPr>
        <w:tc>
          <w:tcPr>
            <w:tcW w:w="267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Высокий</w:t>
            </w:r>
          </w:p>
        </w:tc>
        <w:tc>
          <w:tcPr>
            <w:tcW w:w="2445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7-8</w:t>
            </w:r>
          </w:p>
        </w:tc>
      </w:tr>
      <w:tr w:rsidR="00F31465" w:rsidRPr="00F31465" w:rsidTr="00F31465">
        <w:trPr>
          <w:trHeight w:val="150"/>
        </w:trPr>
        <w:tc>
          <w:tcPr>
            <w:tcW w:w="267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средний</w:t>
            </w:r>
          </w:p>
        </w:tc>
        <w:tc>
          <w:tcPr>
            <w:tcW w:w="2445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4-6</w:t>
            </w:r>
          </w:p>
        </w:tc>
      </w:tr>
      <w:tr w:rsidR="00F31465" w:rsidRPr="00F31465" w:rsidTr="00F31465">
        <w:trPr>
          <w:trHeight w:val="150"/>
        </w:trPr>
        <w:tc>
          <w:tcPr>
            <w:tcW w:w="267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низкий</w:t>
            </w:r>
          </w:p>
        </w:tc>
        <w:tc>
          <w:tcPr>
            <w:tcW w:w="2445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2-3</w:t>
            </w:r>
          </w:p>
        </w:tc>
      </w:tr>
      <w:tr w:rsidR="00F31465" w:rsidRPr="00F31465" w:rsidTr="00F31465">
        <w:trPr>
          <w:trHeight w:val="135"/>
        </w:trPr>
        <w:tc>
          <w:tcPr>
            <w:tcW w:w="2670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Очень низкий</w:t>
            </w:r>
          </w:p>
        </w:tc>
        <w:tc>
          <w:tcPr>
            <w:tcW w:w="2445" w:type="dxa"/>
            <w:tcBorders>
              <w:top w:val="inset" w:sz="18" w:space="0" w:color="000000"/>
              <w:left w:val="inset" w:sz="18" w:space="0" w:color="000000"/>
              <w:bottom w:val="inset" w:sz="18" w:space="0" w:color="000000"/>
              <w:right w:val="inset" w:sz="18" w:space="0" w:color="000000"/>
            </w:tcBorders>
            <w:shd w:val="clear" w:color="auto" w:fill="FFFFFF"/>
            <w:tcMar>
              <w:top w:w="58" w:type="dxa"/>
              <w:left w:w="86" w:type="dxa"/>
              <w:bottom w:w="58" w:type="dxa"/>
              <w:right w:w="58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</w:tbl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5. </w:t>
      </w:r>
      <w:r w:rsidRPr="00F3146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 xml:space="preserve">Тест </w:t>
      </w:r>
      <w:proofErr w:type="spellStart"/>
      <w:r w:rsidRPr="00F31465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Мюнстерберга</w:t>
      </w:r>
      <w:proofErr w:type="spellEnd"/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r w:rsidRPr="00F3146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Определение избирательности и концентрации внимания. Среди буквенного текста имеются слова. Ваша задача – как можно быстрее считывая текст, подчеркнуть эти слова. Время выполнения задания – 2 минуты. Пример: «</w:t>
      </w:r>
      <w:proofErr w:type="spellStart"/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лгщьба</w:t>
      </w:r>
      <w:r w:rsidRPr="00F31465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память</w:t>
      </w: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шогхеюжп</w:t>
      </w:r>
      <w:proofErr w:type="spellEnd"/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 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Обработка результатов. Оценка количества выделенных слов и количество ошибок (пропущенные и неправильно выделенные слова). 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тексте содержится 25 слов. Хорошим считается результат – 20 и более баллов (желательно без пропуска слов). Низкие показатели – 18 и менее баллов.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III. Для оценки удовлетворенности и определения влияния шахмат на младших школьников родителями, был использован метод исследования – наблюдение. Нами были разработаны бланки наблюдений и предложены родителям для заполнения. Анкеты состояли из 4 и 5 вопросов, на каждый вопрос было необходимо выбрать один из предложенных ответов. Результат опроса выражен в процентах и представлен в виде диаграмм.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IV. Математический анализ использовался с целью обработки полученных результатов в ходе всех вышеперечисленных исследований. Результаты исследования обрабатывались на компьютере с помощью программы </w:t>
      </w:r>
      <w:proofErr w:type="spellStart"/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Microsoft</w:t>
      </w:r>
      <w:proofErr w:type="spellEnd"/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Office</w:t>
      </w:r>
      <w:proofErr w:type="spellEnd"/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Excel</w:t>
      </w:r>
      <w:proofErr w:type="spellEnd"/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Данные, полученные при исследовании показателей экспериментальной и контрольной групп, сравнивались по критерию Стьюдента для связанных и несвязанных выборок. В процессе обработки использовались такие параметры как: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М - средняя арифметическая;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m - стандартная ошибка средней арифметической;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 - показатель достоверности.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Влияния шахмат на развитие детей младшего школьного возраста.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Отношение учеников к занятиям шахматами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Немаловажную роль при исследовании интеллектуальных способностей детей занимает исследование их мотивации к занятиям шахматами.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первом этапе для исследования мотивации испытуемым предложена анкета. Вопросы и результат анкетирования занесены в таблицу 5.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Таблица 5 – Показатели мотивации к занятиям шахматами.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973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20"/>
        <w:gridCol w:w="8287"/>
        <w:gridCol w:w="628"/>
      </w:tblGrid>
      <w:tr w:rsidR="00F31465" w:rsidRPr="00F31465" w:rsidTr="00F31465">
        <w:trPr>
          <w:trHeight w:val="90"/>
        </w:trPr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Тест, n = 18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 %</w:t>
            </w:r>
          </w:p>
        </w:tc>
      </w:tr>
      <w:tr w:rsidR="00F31465" w:rsidRPr="00F31465" w:rsidTr="00F31465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Шахматы – это увлекательная игра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</w:tr>
      <w:tr w:rsidR="00F31465" w:rsidRPr="00F31465" w:rsidTr="00F31465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Шахматы – это спортивные состязания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</w:tr>
      <w:tr w:rsidR="00F31465" w:rsidRPr="00F31465" w:rsidTr="00F31465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Самое важное в шахматах – знание правил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</w:tr>
      <w:tr w:rsidR="00F31465" w:rsidRPr="00F31465" w:rsidTr="00F31465">
        <w:trPr>
          <w:trHeight w:val="345"/>
        </w:trPr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Самое важное в шахматах – это способность мыслить на несколько шагов вперёд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</w:tr>
      <w:tr w:rsidR="00F31465" w:rsidRPr="00F31465" w:rsidTr="00F31465">
        <w:trPr>
          <w:trHeight w:val="210"/>
        </w:trPr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Самое важное в шахматах – внимательность и собранность.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</w:tr>
      <w:tr w:rsidR="00F31465" w:rsidRPr="00F31465" w:rsidTr="00F31465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Самое главное в шахматах – развитие умственных способностей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</w:tr>
      <w:tr w:rsidR="00F31465" w:rsidRPr="00F31465" w:rsidTr="00F31465"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Отнимают занятия шахматами свободное время?</w:t>
            </w:r>
          </w:p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да</w:t>
            </w:r>
          </w:p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нет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</w:tr>
      <w:tr w:rsidR="00F31465" w:rsidRPr="00F31465" w:rsidTr="00F31465">
        <w:trPr>
          <w:trHeight w:val="195"/>
        </w:trPr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Хотели бы заниматься шахматами углубленно?</w:t>
            </w:r>
          </w:p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да</w:t>
            </w:r>
          </w:p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нет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</w:tr>
    </w:tbl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Анкетирование показало, что для школьников 7 – 10 лет шахматы – это, прежде всего, увлекательная игра, которая развивает в них способность концентрироваться над поставленной задачей. Самое важное в шахматах – это способность мыслить на несколько шагов вперёд – 69%; развивать внимательность – 56%. Также мы выяснили, что для основной массы детей занятия шахматами не отнимают у них свободного времени – 88%; многие из них хотели бы заниматься этой игрой углубленно – 75%.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втором этапе школьникам предложено анкетирование по вопросу: «Я занимаюсь шахматами, потому что…»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диагностики наглядно представлены в диаграмме:</w:t>
      </w:r>
    </w:p>
    <w:p w:rsidR="00F31465" w:rsidRPr="00F31465" w:rsidRDefault="00F31465" w:rsidP="00F3146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762625" cy="3238500"/>
            <wp:effectExtent l="0" t="0" r="9525" b="0"/>
            <wp:docPr id="6" name="Рисунок 6" descr="https://fsd.multiurok.ru/html/2021/10/07/s_615e8fce3283d/phpLzpI6D_Issledovatelskaya-rabota_html_c662082ef21f44c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21/10/07/s_615e8fce3283d/phpLzpI6D_Issledovatelskaya-rabota_html_c662082ef21f44cb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465" w:rsidRPr="00F31465" w:rsidRDefault="00F31465" w:rsidP="00F3146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Анкетирование показало, что учащиеся младших классов занимаются шахматами, в первую очередь, из-за доброжелательного отношения преподавателя к ним – 68%; во вторую очередь, из-за желания развить свои качества такие как: усидчивость, внимание, память и сила воли – 64%; в третью очередь, из-за возможности большего общения со своими сверстниками – 54%. Желание проявить себя возникает только у 36%; 32% детей посещают занятия шахматами по требованию родителей и только 19% считают, что шахматы – это престижно.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 материалов проведенных опросов мы видим, что школьники 7 – 10 лет, прежде всего дети, которые хотят общаться со сверстниками, играть, но при этом уже хотят развиваться, развивать свои качества. Большая часть детей приходит в шахматы самостоятельно, но есть и те, которых приводят родители. 36% опрошенных детей приходят заниматься шахматами для проявления себя и достижения определенных целей на спортивном поприще.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Исследование интеллектуальных способностей младших школьников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наглядного сравнения интеллектуальных способностей младших школьников, измерения их уровня познавательных процессов мы провели тестирование по пяти различным тестам в двух группах: экспериментальной группе (Э.Г.) и контрольной группе (К.Г.).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тестировании приняли участие 18 учащихся, в том числе, 6 девочек и 12 мальчиков.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измерения уровня познавательных процессов представлены в таблице 6.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Таблица 6</w:t>
      </w:r>
    </w:p>
    <w:p w:rsidR="00F31465" w:rsidRPr="00F31465" w:rsidRDefault="00F31465" w:rsidP="00F3146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879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84"/>
        <w:gridCol w:w="6071"/>
        <w:gridCol w:w="984"/>
        <w:gridCol w:w="1051"/>
      </w:tblGrid>
      <w:tr w:rsidR="00F31465" w:rsidRPr="00F31465" w:rsidTr="00F31465">
        <w:trPr>
          <w:trHeight w:val="135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Наименование тестов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К.Г. (%)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Э.Г. (%)</w:t>
            </w:r>
          </w:p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F31465" w:rsidRPr="00F31465" w:rsidTr="00F31465">
        <w:trPr>
          <w:trHeight w:val="135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Оценка произвольного внимания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66</w:t>
            </w:r>
          </w:p>
        </w:tc>
      </w:tr>
      <w:tr w:rsidR="00F31465" w:rsidRPr="00F31465" w:rsidTr="00F31465">
        <w:trPr>
          <w:trHeight w:val="195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Оценка объема распределения и переключения внимания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66</w:t>
            </w:r>
          </w:p>
        </w:tc>
      </w:tr>
      <w:tr w:rsidR="00F31465" w:rsidRPr="00F31465" w:rsidTr="00F31465">
        <w:trPr>
          <w:trHeight w:val="45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Оценка быстроты мышления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78</w:t>
            </w:r>
          </w:p>
        </w:tc>
      </w:tr>
      <w:tr w:rsidR="00F31465" w:rsidRPr="00F31465" w:rsidTr="00F31465">
        <w:trPr>
          <w:trHeight w:val="75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оперативной памяти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</w:t>
            </w:r>
          </w:p>
        </w:tc>
      </w:tr>
      <w:tr w:rsidR="00F31465" w:rsidRPr="00F31465" w:rsidTr="00F31465">
        <w:trPr>
          <w:trHeight w:val="225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5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Определение избирательности и концентрации внимания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77</w:t>
            </w:r>
          </w:p>
        </w:tc>
      </w:tr>
    </w:tbl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Проведенное исследование показало, что в экспериментальной группе школьников, занимающихся шахматами, более высокие показатели, чем в контрольной группе: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оценка произвольного внимания – 66% вместо 44%;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оценка объёма и распределения внимания – 66% вместо 44%;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 оценка быстроты мышления (темп выполнения ориентировочных и операционных компонентов мышления) – 51% вместо 78%;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развитие оперативной памяти – 46% вместо 68%;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 избирательность и концентрация внимания – 56% вместо 77%.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показатели свидетельствуют о положительной динамике развития умственных способностей детей.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Наблюдение за детьми младшего школьного возраста в ходе обучения шахматам.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Анкетирование проводилось путём заочного опроса родителей с целью определения их удовлетворённости в организации образовательного процесса на занятиях шахматами. В опросе приняло участие 25 респондентов.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5762625" cy="3238500"/>
            <wp:effectExtent l="0" t="0" r="9525" b="0"/>
            <wp:docPr id="5" name="Рисунок 5" descr="https://fsd.multiurok.ru/html/2021/10/07/s_615e8fce3283d/phpLzpI6D_Issledovatelskaya-rabota_html_c4b4b45106335c7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21/10/07/s_615e8fce3283d/phpLzpI6D_Issledovatelskaya-rabota_html_c4b4b45106335c7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ходе анкетирования выявлено, что родители имеют различные мнения, но большинство из них удовлетворены отношением ребёнка с педагогом. Из 25 опрошенных 22 человека ответило – удовлетворён, что соответствует 88%, в чём-то удовлетворён, в чём-то не удовлетворён – 4%, затруднились ответить – 8%, не удовлетворён – 0.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уроках это подтверждается тем, что дети расположены к общению с педагогом, без стеснения отвечают, задают вопросы по темам и работают в ходе занятий.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762625" cy="3238500"/>
            <wp:effectExtent l="0" t="0" r="9525" b="0"/>
            <wp:docPr id="4" name="Рисунок 4" descr="https://fsd.multiurok.ru/html/2021/10/07/s_615e8fce3283d/phpLzpI6D_Issledovatelskaya-rabota_html_c4b4b45106335c7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21/10/07/s_615e8fce3283d/phpLzpI6D_Issledovatelskaya-rabota_html_c4b4b45106335c7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465" w:rsidRPr="00F31465" w:rsidRDefault="00F31465" w:rsidP="00F3146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вопрос «На сколько Вы удовлетворены отношениями ребёнка с другими учащимися?» голоса родителей разделились следующим образом: 76% ответили – «удовлетворительно», 12% – «в чём-то удовлетворён, а в чём-то нет», 8% затруднились ответить, 4% остались не удовлетворены взаимоотношениями детей между собой.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Это подтверждается тем, что дети между собой дружны, у них отсутствуют конфликты, присутствует взаимопонимание, поддержка в случае проигранных партий, дети с удовольствием посещают шахматы. Беря во внимание показатель неудовлетворённости – 4% говорит о том, что некоторые дети требуют к себе особого внимания из-за свойственных им черт характера, которые влияют на их общение и вхождение в общество.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вопрос «Удовлетворены ли Вы организацией комфортной образовательной среды в шахматном классе?» ответы опрошенных показали: 88% были – «удовлетворены», 12% – «в чём-то удовлетворены, а в чём-то нет», 4% затруднились ответить, 8% не удовлетворены условиями для занятий. Это выражается, в основном, в недостаточной оснащённости необходимого шахматного инвентаря, наличия компьютерного оборудования.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762625" cy="3238500"/>
            <wp:effectExtent l="0" t="0" r="9525" b="0"/>
            <wp:docPr id="3" name="Рисунок 3" descr="https://fsd.multiurok.ru/html/2021/10/07/s_615e8fce3283d/phpLzpI6D_Issledovatelskaya-rabota_html_ee6a84f5ea6df08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multiurok.ru/html/2021/10/07/s_615e8fce3283d/phpLzpI6D_Issledovatelskaya-rabota_html_ee6a84f5ea6df088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Определяя удовлетворённость организации образовательным процессом на уроке, мнение респондентов показало, что 88% «удовлетворены качеством организации урока и его преподавания», 8% – «в чём-то удовлетворены, а в чём-то нет», 4% - затруднились ответить.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5762625" cy="3238500"/>
            <wp:effectExtent l="0" t="0" r="9525" b="0"/>
            <wp:docPr id="2" name="Рисунок 2" descr="https://fsd.multiurok.ru/html/2021/10/07/s_615e8fce3283d/phpLzpI6D_Issledovatelskaya-rabota_html_d9ed9bfb4941881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d.multiurok.ru/html/2021/10/07/s_615e8fce3283d/phpLzpI6D_Issledovatelskaya-rabota_html_d9ed9bfb4941881e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 результату наблюдения можно сделать вывод о достаточно высокой степени организации урока и его преподавания, но образовательный процесс не стоит на месте, он требует постоянного движения, развития и анализа. Также для улучшения качества преподавания необходимо своевременное обновление материально – технической и </w:t>
      </w:r>
      <w:proofErr w:type="spellStart"/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учебно</w:t>
      </w:r>
      <w:proofErr w:type="spellEnd"/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методической базы: обеспечение современными техническими средствами обучения, наглядными пособиями.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Анализ результатов исследования интеллектуальных способностей детей младшего школьного возраста.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нашем исследовании был проведен эксперимент с двумя группами школьников, цель которого – наглядное сравнение интеллектуальных способностей младших школьников, измерение их уровня познавательных процессов.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исследовании приняло участие 18 детей в возрасте от 7 до 10 лет. Эксперимент проводился в виде тестирования их познавательных процессов и влияние шахмат на их развитие.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качестве показателей были исследованы: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оценка произвольного внимания;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оценка объема распределения и переключения внимания;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оценка быстроты мышления;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оперативная память;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 избирательность и концентрация внимания.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результату исследования показатели интеллектуальных способностей детей младшего школьного возраста значительную разнятся. Результат сравнения показателей представлен в таблице 7 и оформлен графически в диаграмме.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949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32"/>
        <w:gridCol w:w="4337"/>
        <w:gridCol w:w="1393"/>
        <w:gridCol w:w="1237"/>
        <w:gridCol w:w="908"/>
        <w:gridCol w:w="888"/>
      </w:tblGrid>
      <w:tr w:rsidR="00F31465" w:rsidRPr="00F31465" w:rsidTr="00F31465">
        <w:trPr>
          <w:trHeight w:val="405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№ п/п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Наименование тестов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К </w:t>
            </w:r>
            <w:proofErr w:type="spellStart"/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M±m</w:t>
            </w:r>
            <w:proofErr w:type="spellEnd"/>
          </w:p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Э </w:t>
            </w:r>
            <w:proofErr w:type="spellStart"/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M±m</w:t>
            </w:r>
            <w:proofErr w:type="spellEnd"/>
          </w:p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Темп роста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</w:t>
            </w:r>
          </w:p>
        </w:tc>
      </w:tr>
      <w:tr w:rsidR="00F31465" w:rsidRPr="00F31465" w:rsidTr="00F31465">
        <w:trPr>
          <w:trHeight w:val="135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Оценка произвольного внимания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4,0±0,18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5,9±0,18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1,9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F31465" w:rsidRPr="00F31465" w:rsidTr="00F31465">
        <w:trPr>
          <w:trHeight w:val="195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Оценка объема распределения и переключения внимания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4,0±0,27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6,0±0,18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2,0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F31465" w:rsidRPr="00F31465" w:rsidTr="00F31465">
        <w:trPr>
          <w:trHeight w:val="45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Оценка быстроты мышления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2,6±0,42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3,9±0,18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1,3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F31465" w:rsidRPr="00F31465" w:rsidTr="00F31465">
        <w:trPr>
          <w:trHeight w:val="75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Исследование оперативной памяти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3,2±0,33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4,8±0,15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1,6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F31465" w:rsidRPr="00F31465" w:rsidTr="00F31465">
        <w:trPr>
          <w:trHeight w:val="21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Определение избирательности и </w:t>
            </w:r>
          </w:p>
          <w:p w:rsidR="00F31465" w:rsidRPr="00F31465" w:rsidRDefault="00F31465" w:rsidP="00F31465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концентрации внимания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2,8±0,25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3,9±0,18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31465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1,1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31465" w:rsidRPr="00F31465" w:rsidRDefault="00F31465" w:rsidP="00F314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762625" cy="3238500"/>
            <wp:effectExtent l="0" t="0" r="9525" b="0"/>
            <wp:docPr id="1" name="Рисунок 1" descr="https://fsd.multiurok.ru/html/2021/10/07/s_615e8fce3283d/phpLzpI6D_Issledovatelskaya-rabota_html_52cff1a190f1732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d.multiurok.ru/html/2021/10/07/s_615e8fce3283d/phpLzpI6D_Issledovatelskaya-rabota_html_52cff1a190f1732b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Проведенное исследование показало, что в экспериментальной группе школьников, занимающихся шахматами, более высокие показатели, чем в контрольной группе: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оценки объема и распределения внимания – темп роста 2,0 б. (Р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 оценка произвольного внимания (выполнения ориентировочных и операционных компонентов мышления) – темп роста 1,9 б. (Р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 развитие оперативной памяти, избирательности и концентрации внимания – темп роста 1,6 б. (Р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оценка быстроты – темп роста 1,3 б. (Р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оценка избирательности и концентрации внимания – темп роста 1,3 б. (Р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 показатели говорят о необходимости и важности использования уроков шахмат в начальной общеобразовательной школе.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того, чтобы помочь ребенку раскрыть творческий потенциал, нам необходимо понять его психологическое состояние.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 психологическим проблемам можно отнести, в первую очередь, неуверенность в себе. Появляется боязнь соперника, пассивность в игре, страх перед решающими партиями. Чтобы </w:t>
      </w: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преодолевать эти проблемы, нужно, в первую очередь, поднимать самооценку. Основополагающим должен стать девиз под условным названием: «Я всё могу!» Хорошо, когда ученик ещё и понимает, что это не пустые слова, а подкреплённые какими – то достижениями, пусть даже локального характера.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процессе обучения шахматной игре не так просто удерживать внимание ребенка, которое, в основном, непроизвольно. Для этого требуются новые подходы к занятиям. Обучение должно развивать самостоятельное, критическое и творческое мышление. Для этого необходимо широкое информационное поле деятельности, различные источники информации, различные взгляды, побуждающие учащихся к самостоятельному размышлению.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Вывод.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Анализируя теоретико-методическую литературу, проведя исследовательскую работу, мы пришли к выводу, что шахматы благоприятно влияют на интеллектуальное развитие детей младшего школьного возраста.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процессе игры развивается логическое мышление, ребенок начинает мыслить более масштабно и эффективно.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Сравнивая интеллектуальные способности школьников по пяти различным тестам, мы увидели положительную динамику в развитии умственных способностей детей. Так, в экспериментальной группе детей, занимающихся шахматами более высокие показатели, чем в контрольной группе: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оценка произвольного внимания на 22%;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оценка объема и распределения внимания на 22%;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 оценка быстроты мышления (темп выполнения ориентировочных и операционных компонентов мышления) на 27%;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развитие оперативной памяти на 22%;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 избирательность и концентрация внимания на 21%.</w:t>
      </w:r>
    </w:p>
    <w:p w:rsidR="00F31465" w:rsidRPr="00F31465" w:rsidRDefault="00F31465" w:rsidP="00F3146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3146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Наиболее эффективным психолого-педагогическим приёмом преподавания шахмат, направленным на интеллектуальное развитие школьников, стала игра в шахматы командами. Именно этот приём оказывает психологическую устойчивость, даёт ребенку дополнительную поддержку, способствует его адаптации в социуме. Выполнение индивидуальных заданий в группе развивает самостоятельность самих учащихся.</w:t>
      </w:r>
    </w:p>
    <w:p w:rsidR="00B436C3" w:rsidRDefault="00B436C3"/>
    <w:sectPr w:rsidR="00B43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465"/>
    <w:rsid w:val="00B436C3"/>
    <w:rsid w:val="00F3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F6752"/>
  <w15:chartTrackingRefBased/>
  <w15:docId w15:val="{B5F87EB8-ABAE-45BD-9E05-71920D7A3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1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8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2421</Words>
  <Characters>13804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УЧИНИНА-НВ</dc:creator>
  <cp:keywords/>
  <dc:description/>
  <cp:lastModifiedBy>УЧИНИНА-НВ</cp:lastModifiedBy>
  <cp:revision>1</cp:revision>
  <dcterms:created xsi:type="dcterms:W3CDTF">2025-03-01T06:49:00Z</dcterms:created>
  <dcterms:modified xsi:type="dcterms:W3CDTF">2025-03-01T06:50:00Z</dcterms:modified>
</cp:coreProperties>
</file>