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after="0" w:line="360" w:lineRule="auto"/>
        <w:ind/>
        <w:jc w:val="center"/>
        <w:rPr>
          <w:rFonts w:ascii="Times New Roman" w:hAnsi="Times New Roman"/>
          <w:sz w:val="32"/>
        </w:rPr>
      </w:pPr>
      <w:r>
        <w:rPr>
          <w:rFonts w:ascii="Times New Roman" w:hAnsi="Times New Roman"/>
          <w:sz w:val="32"/>
        </w:rPr>
        <w:t xml:space="preserve">Памятка для педагогов </w:t>
      </w:r>
      <w:r>
        <w:rPr>
          <w:rFonts w:ascii="Times New Roman" w:hAnsi="Times New Roman"/>
          <w:sz w:val="32"/>
        </w:rPr>
        <w:t>на тему:</w:t>
      </w:r>
    </w:p>
    <w:p w14:paraId="04000000">
      <w:pPr>
        <w:spacing w:after="0" w:line="360" w:lineRule="auto"/>
        <w:ind w:firstLine="0" w:left="360"/>
        <w:jc w:val="center"/>
        <w:rPr>
          <w:rFonts w:ascii="Times New Roman" w:hAnsi="Times New Roman"/>
          <w:b w:val="1"/>
          <w:sz w:val="32"/>
        </w:rPr>
      </w:pPr>
      <w:r>
        <w:rPr>
          <w:rFonts w:ascii="Times New Roman" w:hAnsi="Times New Roman"/>
          <w:b w:val="1"/>
          <w:sz w:val="32"/>
        </w:rPr>
        <w:t>«</w:t>
      </w:r>
      <w:r>
        <w:rPr>
          <w:rFonts w:ascii="Times New Roman" w:hAnsi="Times New Roman"/>
          <w:b w:val="1"/>
          <w:sz w:val="32"/>
        </w:rPr>
        <w:t>Развитие речи детей через сюжетно-ролевую игру</w:t>
      </w:r>
      <w:r>
        <w:rPr>
          <w:rFonts w:ascii="Times New Roman" w:hAnsi="Times New Roman"/>
          <w:b w:val="1"/>
          <w:sz w:val="32"/>
        </w:rPr>
        <w:t>»</w:t>
      </w:r>
    </w:p>
    <w:p w14:paraId="05000000">
      <w:pPr>
        <w:spacing w:line="360" w:lineRule="auto"/>
        <w:ind w:firstLine="709" w:left="0"/>
        <w:contextualSpacing w:val="1"/>
        <w:jc w:val="both"/>
        <w:rPr>
          <w:rFonts w:ascii="Times New Roman" w:hAnsi="Times New Roman"/>
          <w:sz w:val="28"/>
        </w:rPr>
      </w:pPr>
      <w:r>
        <w:rPr>
          <w:rFonts w:ascii="Times New Roman" w:hAnsi="Times New Roman"/>
          <w:sz w:val="28"/>
        </w:rPr>
        <w:t>Формирование игровой деятельности в дошкольном возрасте предпол</w:t>
      </w:r>
      <w:r>
        <w:rPr>
          <w:rFonts w:ascii="Times New Roman" w:hAnsi="Times New Roman"/>
          <w:sz w:val="28"/>
        </w:rPr>
        <w:t xml:space="preserve">агает ее организацию </w:t>
      </w:r>
      <w:r>
        <w:rPr>
          <w:rFonts w:ascii="Times New Roman" w:hAnsi="Times New Roman"/>
          <w:sz w:val="28"/>
        </w:rPr>
        <w:t>педагогом</w:t>
      </w:r>
      <w:r>
        <w:rPr>
          <w:rFonts w:ascii="Times New Roman" w:hAnsi="Times New Roman"/>
          <w:sz w:val="28"/>
        </w:rPr>
        <w:t>. Причем</w:t>
      </w:r>
      <w:r>
        <w:rPr>
          <w:rFonts w:ascii="Times New Roman" w:hAnsi="Times New Roman"/>
          <w:sz w:val="28"/>
        </w:rPr>
        <w:t>,</w:t>
      </w:r>
      <w:r>
        <w:rPr>
          <w:rFonts w:ascii="Times New Roman" w:hAnsi="Times New Roman"/>
          <w:sz w:val="28"/>
        </w:rPr>
        <w:t xml:space="preserve"> чем меньше дети</w:t>
      </w:r>
      <w:r>
        <w:rPr>
          <w:rFonts w:ascii="Times New Roman" w:hAnsi="Times New Roman"/>
          <w:sz w:val="28"/>
        </w:rPr>
        <w:t>,</w:t>
      </w:r>
      <w:r>
        <w:rPr>
          <w:rFonts w:ascii="Times New Roman" w:hAnsi="Times New Roman"/>
          <w:sz w:val="28"/>
        </w:rPr>
        <w:t xml:space="preserve"> тем больше в их играх должно быть непосредственно</w:t>
      </w:r>
      <w:r>
        <w:rPr>
          <w:rFonts w:ascii="Times New Roman" w:hAnsi="Times New Roman"/>
          <w:sz w:val="28"/>
        </w:rPr>
        <w:t>го участия со стороны взрослых.</w:t>
      </w:r>
    </w:p>
    <w:p w14:paraId="06000000">
      <w:pPr>
        <w:spacing w:line="360" w:lineRule="auto"/>
        <w:ind w:firstLine="709" w:left="0"/>
        <w:contextualSpacing w:val="1"/>
        <w:jc w:val="both"/>
        <w:rPr>
          <w:rFonts w:ascii="Times New Roman" w:hAnsi="Times New Roman"/>
          <w:sz w:val="28"/>
        </w:rPr>
      </w:pPr>
      <w:r>
        <w:rPr>
          <w:rFonts w:ascii="Times New Roman" w:hAnsi="Times New Roman"/>
          <w:sz w:val="28"/>
        </w:rPr>
        <w:t>Н</w:t>
      </w:r>
      <w:r>
        <w:rPr>
          <w:rFonts w:ascii="Times New Roman" w:hAnsi="Times New Roman"/>
          <w:sz w:val="28"/>
        </w:rPr>
        <w:t>аряду с общим влиянием игры на весь ход их психического развития</w:t>
      </w:r>
      <w:r>
        <w:rPr>
          <w:rFonts w:ascii="Times New Roman" w:hAnsi="Times New Roman"/>
          <w:sz w:val="28"/>
        </w:rPr>
        <w:t>,</w:t>
      </w:r>
      <w:r>
        <w:rPr>
          <w:rFonts w:ascii="Times New Roman" w:hAnsi="Times New Roman"/>
          <w:sz w:val="28"/>
        </w:rPr>
        <w:t xml:space="preserve"> она оказывает специфическое воздействие на становление речи. Детей следует постоянно побуждать к общению друг с другом и комментированию своих действий, что способствует закреплению навыков пользования инициативной речью, совершенствованию разговорной речи, обогащению словаря, формированию грамматического строя</w:t>
      </w:r>
      <w:r>
        <w:rPr>
          <w:rFonts w:ascii="Times New Roman" w:hAnsi="Times New Roman"/>
          <w:sz w:val="28"/>
        </w:rPr>
        <w:t xml:space="preserve"> языка и т. д.</w:t>
      </w:r>
    </w:p>
    <w:p w14:paraId="07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Большое влияние на развитие речи детей оказывают игры, содержанием которых является </w:t>
      </w:r>
      <w:r>
        <w:rPr>
          <w:rFonts w:ascii="Times New Roman" w:hAnsi="Times New Roman"/>
          <w:sz w:val="28"/>
        </w:rPr>
        <w:t>инсценирование</w:t>
      </w:r>
      <w:r>
        <w:rPr>
          <w:rFonts w:ascii="Times New Roman" w:hAnsi="Times New Roman"/>
          <w:sz w:val="28"/>
        </w:rPr>
        <w:t xml:space="preserve"> какого-либо сюжета, — так называемые игры-драматизации. Хороводные игры и игры с пением способствуют развитию выразительности речи и согласованности слов с движениями. Подобные игры формируют также произвольное </w:t>
      </w:r>
      <w:r>
        <w:rPr>
          <w:rFonts w:ascii="Times New Roman" w:hAnsi="Times New Roman"/>
          <w:sz w:val="28"/>
        </w:rPr>
        <w:t>запоминание текстов и движений.</w:t>
      </w:r>
    </w:p>
    <w:p w14:paraId="08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Одной из первых форм детской игровой деятельности является сюжетно-ролевая игра. </w:t>
      </w:r>
      <w:r>
        <w:rPr>
          <w:rFonts w:ascii="Times New Roman" w:hAnsi="Times New Roman"/>
          <w:sz w:val="28"/>
        </w:rPr>
        <w:t xml:space="preserve">Проблемой сюжетно – ролевой игры дошкольного возраста занимались такие авторы, как  Е.А. Аркин, П.А. </w:t>
      </w:r>
      <w:r>
        <w:rPr>
          <w:rFonts w:ascii="Times New Roman" w:hAnsi="Times New Roman"/>
          <w:sz w:val="28"/>
        </w:rPr>
        <w:t>Рудик</w:t>
      </w:r>
      <w:r>
        <w:rPr>
          <w:rFonts w:ascii="Times New Roman" w:hAnsi="Times New Roman"/>
          <w:sz w:val="28"/>
        </w:rPr>
        <w:t xml:space="preserve">,  Д.В. </w:t>
      </w:r>
      <w:r>
        <w:rPr>
          <w:rFonts w:ascii="Times New Roman" w:hAnsi="Times New Roman"/>
          <w:sz w:val="28"/>
        </w:rPr>
        <w:t>Менджерицкая</w:t>
      </w:r>
      <w:r>
        <w:rPr>
          <w:rFonts w:ascii="Times New Roman" w:hAnsi="Times New Roman"/>
          <w:sz w:val="28"/>
        </w:rPr>
        <w:t xml:space="preserve">,  А.П.Усова,  Л.С. Выгодский,  А.Н Леонтьев,  П.Я. Гальперин, В.В. Давыдов, А.В. Запорожец, А.А. Смирнов,  Д.Б. </w:t>
      </w:r>
      <w:r>
        <w:rPr>
          <w:rFonts w:ascii="Times New Roman" w:hAnsi="Times New Roman"/>
          <w:sz w:val="28"/>
        </w:rPr>
        <w:t>Эльконин</w:t>
      </w:r>
      <w:r>
        <w:rPr>
          <w:rFonts w:ascii="Times New Roman" w:hAnsi="Times New Roman"/>
          <w:sz w:val="28"/>
        </w:rPr>
        <w:t xml:space="preserve">,  Е.И. Тихеева,  Ф.А. Сохин. Д. Б. </w:t>
      </w:r>
      <w:r>
        <w:rPr>
          <w:rFonts w:ascii="Times New Roman" w:hAnsi="Times New Roman"/>
          <w:sz w:val="28"/>
        </w:rPr>
        <w:t>Эльконин</w:t>
      </w:r>
      <w:r>
        <w:rPr>
          <w:rFonts w:ascii="Times New Roman" w:hAnsi="Times New Roman"/>
          <w:sz w:val="28"/>
        </w:rPr>
        <w:t>, сделавший большой вклад в изучение игры дошкольников, писал, что в игре у детей возникает чрезвычайно богатая речевая связь, которая освобождает речь детей от ситуационной связности. Степень изученности данной темы в психолого - педагогической литературе достаточно высока.</w:t>
      </w:r>
    </w:p>
    <w:p w14:paraId="09000000">
      <w:pPr>
        <w:spacing w:line="360" w:lineRule="auto"/>
        <w:ind w:firstLine="709" w:left="0"/>
        <w:contextualSpacing w:val="1"/>
        <w:jc w:val="both"/>
      </w:pPr>
      <w:r>
        <w:rPr>
          <w:rFonts w:ascii="Times New Roman" w:hAnsi="Times New Roman"/>
          <w:sz w:val="28"/>
        </w:rPr>
        <w:t>Сюжетно-ролевая игра оказывает положит</w:t>
      </w:r>
      <w:r>
        <w:rPr>
          <w:rFonts w:ascii="Times New Roman" w:hAnsi="Times New Roman"/>
          <w:sz w:val="28"/>
        </w:rPr>
        <w:t>ельное влияние на развитие речи</w:t>
      </w:r>
      <w:r>
        <w:rPr>
          <w:rFonts w:ascii="Times New Roman" w:hAnsi="Times New Roman"/>
          <w:sz w:val="28"/>
        </w:rPr>
        <w:t xml:space="preserve">, в том числе ее звуковая сторона. Развивается фонетический слух, </w:t>
      </w:r>
      <w:r>
        <w:rPr>
          <w:rFonts w:ascii="Times New Roman" w:hAnsi="Times New Roman"/>
          <w:sz w:val="28"/>
        </w:rPr>
        <w:t>интонационная выразительность речи при чтении стихов в повседневной жизни и в сюжетно-ролевой игре. Совершенствуется грамматический строй речи. Дети используют практически все части речи, активно занимаются словотворчеством. Используют антонимы, синонимы. Развивается связная речь. Дети могут пересказывать, рассказывать по картинке, передавая не только детали, но и главное. Дети распределяют роли в игровой деятельности.</w:t>
      </w:r>
      <w:r>
        <w:rPr>
          <w:rFonts w:ascii="Times New Roman" w:hAnsi="Times New Roman"/>
          <w:sz w:val="28"/>
        </w:rPr>
        <w:t xml:space="preserve"> </w:t>
      </w:r>
      <w:r>
        <w:rPr>
          <w:rFonts w:ascii="Times New Roman" w:hAnsi="Times New Roman"/>
          <w:sz w:val="28"/>
        </w:rPr>
        <w:t>В ходе игры ребенок вслух разговаривает с игрушкой, говорит и за себя, и за нее, подражает гудению самолета, голосам зверей и т. д.</w:t>
      </w:r>
      <w:r>
        <w:t xml:space="preserve"> </w:t>
      </w:r>
    </w:p>
    <w:p w14:paraId="0A000000">
      <w:pPr>
        <w:spacing w:line="360" w:lineRule="auto"/>
        <w:ind w:firstLine="709" w:left="0"/>
        <w:contextualSpacing w:val="1"/>
        <w:jc w:val="both"/>
        <w:rPr>
          <w:rFonts w:ascii="Times New Roman" w:hAnsi="Times New Roman"/>
          <w:sz w:val="28"/>
        </w:rPr>
      </w:pPr>
      <w:r>
        <w:rPr>
          <w:rFonts w:ascii="Times New Roman" w:hAnsi="Times New Roman"/>
          <w:sz w:val="28"/>
        </w:rPr>
        <w:t>В методической литературе по сюжетно-ролевым играм большая роль отводится педагогу. Воспитатель выступает как советчик и партнер в игре. Педагог может предложить новый сюжет, поддержать игру, подключиться к ней, если в этом есть необходимость, отметить уровень игровых увлечений детей, вовлечь в игру малоактивных детей, дать им задания, поощрить самостоятельность ребенка в игре.</w:t>
      </w:r>
      <w:r>
        <w:rPr>
          <w:rFonts w:ascii="Times New Roman" w:hAnsi="Times New Roman"/>
          <w:sz w:val="28"/>
        </w:rPr>
        <w:t xml:space="preserve"> </w:t>
      </w:r>
    </w:p>
    <w:p w14:paraId="0B000000">
      <w:pPr>
        <w:spacing w:line="360" w:lineRule="auto"/>
        <w:ind w:firstLine="709" w:left="0"/>
        <w:contextualSpacing w:val="1"/>
        <w:jc w:val="both"/>
        <w:rPr>
          <w:rFonts w:ascii="Times New Roman" w:hAnsi="Times New Roman"/>
          <w:sz w:val="28"/>
        </w:rPr>
      </w:pPr>
      <w:r>
        <w:rPr>
          <w:rFonts w:ascii="Times New Roman" w:hAnsi="Times New Roman"/>
          <w:sz w:val="28"/>
        </w:rPr>
        <w:t>В процессе игры воспитатель много разговаривает с детьми, в результате чего</w:t>
      </w:r>
      <w:r>
        <w:rPr>
          <w:rFonts w:ascii="Times New Roman" w:hAnsi="Times New Roman"/>
          <w:sz w:val="28"/>
        </w:rPr>
        <w:t xml:space="preserve">, например, </w:t>
      </w:r>
      <w:r>
        <w:rPr>
          <w:rFonts w:ascii="Times New Roman" w:hAnsi="Times New Roman"/>
          <w:sz w:val="28"/>
        </w:rPr>
        <w:t xml:space="preserve">у неговорящего ребенка возникает потребность в речевом общении. Ему хочется попросить взрослого о чем-либо, сообщить ему что-то. </w:t>
      </w:r>
      <w:r>
        <w:rPr>
          <w:rFonts w:ascii="Times New Roman" w:hAnsi="Times New Roman"/>
          <w:sz w:val="28"/>
        </w:rPr>
        <w:t>Педагог</w:t>
      </w:r>
      <w:r>
        <w:rPr>
          <w:rFonts w:ascii="Times New Roman" w:hAnsi="Times New Roman"/>
          <w:sz w:val="28"/>
        </w:rPr>
        <w:t xml:space="preserve"> всячески побуждает детей обращаться с вопросами по поводу той или иной игрушки. Таким образом, в сюжетно-ролевой игре развивается речевая активность детей.</w:t>
      </w:r>
    </w:p>
    <w:p w14:paraId="0C000000">
      <w:pPr>
        <w:spacing w:line="360" w:lineRule="auto"/>
        <w:ind w:firstLine="709" w:left="0"/>
        <w:contextualSpacing w:val="1"/>
        <w:jc w:val="both"/>
        <w:rPr>
          <w:rFonts w:ascii="Times New Roman" w:hAnsi="Times New Roman"/>
          <w:sz w:val="28"/>
        </w:rPr>
      </w:pPr>
      <w:r>
        <w:rPr>
          <w:rFonts w:ascii="Times New Roman" w:hAnsi="Times New Roman"/>
          <w:sz w:val="28"/>
        </w:rPr>
        <w:t>В сюжетно-ролевых играх дети берут на себя роли взрослых людей и в игровой форме воспроизводят их деятельность и отношение между ними. При этом они комментируют свои действия: "Мама наливает чай"; "Шофер едет на машине". Действующие лица в игре появляются путем ролевого перевоплощения в тот или иной образ самого ребенка, игрушки или окружающих детей и взрослых. "Я буду мама, а ты моя дочка", — говорит девочка, определяя свою роль и роль подруги. "Это у нас шофер", — решает ребено</w:t>
      </w:r>
      <w:r>
        <w:rPr>
          <w:rFonts w:ascii="Times New Roman" w:hAnsi="Times New Roman"/>
          <w:sz w:val="28"/>
        </w:rPr>
        <w:t>к, усаживая куклу в автомобиль.</w:t>
      </w:r>
    </w:p>
    <w:p w14:paraId="0D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Обучение детей </w:t>
      </w:r>
      <w:r>
        <w:rPr>
          <w:rFonts w:ascii="Times New Roman" w:hAnsi="Times New Roman"/>
          <w:sz w:val="28"/>
        </w:rPr>
        <w:t xml:space="preserve">сюжетно-ролевым играм целесообразно начинать с игр с дидактической игрушкой, в которых взрослый показывает ребенку те или </w:t>
      </w:r>
      <w:r>
        <w:rPr>
          <w:rFonts w:ascii="Times New Roman" w:hAnsi="Times New Roman"/>
          <w:sz w:val="28"/>
        </w:rPr>
        <w:t>иные действия: "Уложим куклу спать"; "Напоим куклу чаем". Усвоив их, ребенок в состоянии играть самостоятельно.</w:t>
      </w:r>
    </w:p>
    <w:p w14:paraId="0E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Обучение детей сюжетно-ролевой игре необходимо сопровождать рассказом о содержании действий: "Эта кукла Катя. Катя хочет спать. Куда положим Катю? Спать надо на кровати?" </w:t>
      </w:r>
      <w:r>
        <w:rPr>
          <w:rFonts w:ascii="Times New Roman" w:hAnsi="Times New Roman"/>
          <w:sz w:val="28"/>
        </w:rPr>
        <w:t>Воспитатель</w:t>
      </w:r>
      <w:r>
        <w:rPr>
          <w:rFonts w:ascii="Times New Roman" w:hAnsi="Times New Roman"/>
          <w:sz w:val="28"/>
        </w:rPr>
        <w:t xml:space="preserve"> проси</w:t>
      </w:r>
      <w:r>
        <w:rPr>
          <w:rFonts w:ascii="Times New Roman" w:hAnsi="Times New Roman"/>
          <w:sz w:val="28"/>
        </w:rPr>
        <w:t>т</w:t>
      </w:r>
      <w:r>
        <w:rPr>
          <w:rFonts w:ascii="Times New Roman" w:hAnsi="Times New Roman"/>
          <w:sz w:val="28"/>
        </w:rPr>
        <w:t xml:space="preserve"> </w:t>
      </w:r>
      <w:r>
        <w:rPr>
          <w:rFonts w:ascii="Times New Roman" w:hAnsi="Times New Roman"/>
          <w:sz w:val="28"/>
        </w:rPr>
        <w:t>ребёнка н</w:t>
      </w:r>
      <w:r>
        <w:rPr>
          <w:rFonts w:ascii="Times New Roman" w:hAnsi="Times New Roman"/>
          <w:sz w:val="28"/>
        </w:rPr>
        <w:t>азывать или показывать игруш</w:t>
      </w:r>
      <w:r>
        <w:rPr>
          <w:rFonts w:ascii="Times New Roman" w:hAnsi="Times New Roman"/>
          <w:sz w:val="28"/>
        </w:rPr>
        <w:t>ки, о которых идет речь в игре.</w:t>
      </w:r>
    </w:p>
    <w:p w14:paraId="0F000000">
      <w:pPr>
        <w:spacing w:line="360" w:lineRule="auto"/>
        <w:ind w:firstLine="709" w:left="0"/>
        <w:contextualSpacing w:val="1"/>
        <w:jc w:val="both"/>
        <w:rPr>
          <w:rFonts w:ascii="Times New Roman" w:hAnsi="Times New Roman"/>
          <w:sz w:val="28"/>
        </w:rPr>
      </w:pPr>
      <w:r>
        <w:rPr>
          <w:rFonts w:ascii="Times New Roman" w:hAnsi="Times New Roman"/>
          <w:sz w:val="28"/>
        </w:rPr>
        <w:t>Для усвоения названий предметов и действий с ними большое значение имеет активное манипулирование ими самими детьми. Играя с игрушкой и одновременно слушая</w:t>
      </w:r>
      <w:r>
        <w:rPr>
          <w:rFonts w:ascii="Times New Roman" w:hAnsi="Times New Roman"/>
          <w:sz w:val="28"/>
        </w:rPr>
        <w:t xml:space="preserve"> педагога</w:t>
      </w:r>
      <w:r>
        <w:rPr>
          <w:rFonts w:ascii="Times New Roman" w:hAnsi="Times New Roman"/>
          <w:sz w:val="28"/>
        </w:rPr>
        <w:t xml:space="preserve">, ребенок быстро и хорошо запоминает ее название, подражая взрослому. Показывая, как надо играть, следует все действия обозначать словом. При этом важно сразу же передать предмет ребенку, чтобы он, подражая взрослому, действовал с ним, а </w:t>
      </w:r>
      <w:r>
        <w:rPr>
          <w:rFonts w:ascii="Times New Roman" w:hAnsi="Times New Roman"/>
          <w:sz w:val="28"/>
        </w:rPr>
        <w:t>взрослый</w:t>
      </w:r>
      <w:r>
        <w:rPr>
          <w:rFonts w:ascii="Times New Roman" w:hAnsi="Times New Roman"/>
          <w:sz w:val="28"/>
        </w:rPr>
        <w:t xml:space="preserve"> сопровождал бы словом не только свои действия, но и действия ребенка: "Я качаю Катю. Оля</w:t>
      </w:r>
      <w:r>
        <w:rPr>
          <w:rFonts w:ascii="Times New Roman" w:hAnsi="Times New Roman"/>
          <w:sz w:val="28"/>
        </w:rPr>
        <w:t xml:space="preserve"> </w:t>
      </w:r>
      <w:r>
        <w:rPr>
          <w:rFonts w:ascii="Times New Roman" w:hAnsi="Times New Roman"/>
          <w:sz w:val="28"/>
        </w:rPr>
        <w:t>кач</w:t>
      </w:r>
      <w:r>
        <w:rPr>
          <w:rFonts w:ascii="Times New Roman" w:hAnsi="Times New Roman"/>
          <w:sz w:val="28"/>
        </w:rPr>
        <w:t>ает Катю. Юля качает Катеньку".</w:t>
      </w:r>
    </w:p>
    <w:p w14:paraId="10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Руководя сюжетно-ролевыми играми, воспитатель дает качественную оценку действию ("Я легко глажу волосы"; "Кукла прыгает высоко"), обращает внимание детей на порядок выполнения ("Развязываю пояс на платье, расстегиваю пуговицы на платье, снимаю платье с Кати"). Когда ребенок </w:t>
      </w:r>
      <w:r>
        <w:rPr>
          <w:rFonts w:ascii="Times New Roman" w:hAnsi="Times New Roman"/>
          <w:sz w:val="28"/>
        </w:rPr>
        <w:t>наблюдает</w:t>
      </w:r>
      <w:r>
        <w:rPr>
          <w:rFonts w:ascii="Times New Roman" w:hAnsi="Times New Roman"/>
          <w:sz w:val="28"/>
        </w:rPr>
        <w:t xml:space="preserve"> разнообразные действия и при этом слышит разное обозначение их словом, у </w:t>
      </w:r>
      <w:r>
        <w:rPr>
          <w:rFonts w:ascii="Times New Roman" w:hAnsi="Times New Roman"/>
          <w:sz w:val="28"/>
        </w:rPr>
        <w:t>него развивается чувство языка.</w:t>
      </w:r>
    </w:p>
    <w:p w14:paraId="11000000">
      <w:pPr>
        <w:spacing w:line="360" w:lineRule="auto"/>
        <w:ind w:firstLine="709" w:left="0"/>
        <w:contextualSpacing w:val="1"/>
        <w:jc w:val="both"/>
        <w:rPr>
          <w:rFonts w:ascii="Times New Roman" w:hAnsi="Times New Roman"/>
          <w:sz w:val="28"/>
        </w:rPr>
      </w:pPr>
      <w:r>
        <w:rPr>
          <w:rFonts w:ascii="Times New Roman" w:hAnsi="Times New Roman"/>
          <w:sz w:val="28"/>
        </w:rPr>
        <w:t>Игровой опыт   ребенка слишком мал,   чтобы он мог сразу же выполнять действия в правильной   последовательности. Наблюдая за игрой ребенка, можно заметить, что он часто укладывает куклу спать, не сняв с нее платье и даже пальто. Поэтому сначала необходимо показать   порядок   игровых   действий и только потом давать зада</w:t>
      </w:r>
      <w:r>
        <w:rPr>
          <w:rFonts w:ascii="Times New Roman" w:hAnsi="Times New Roman"/>
          <w:sz w:val="28"/>
        </w:rPr>
        <w:t>ния типа:  "Уложи куклу спать".</w:t>
      </w:r>
    </w:p>
    <w:p w14:paraId="12000000">
      <w:pPr>
        <w:spacing w:line="360" w:lineRule="auto"/>
        <w:ind w:firstLine="709" w:left="0"/>
        <w:contextualSpacing w:val="1"/>
        <w:jc w:val="both"/>
        <w:rPr>
          <w:rFonts w:ascii="Times New Roman" w:hAnsi="Times New Roman"/>
          <w:sz w:val="28"/>
        </w:rPr>
      </w:pPr>
      <w:r>
        <w:rPr>
          <w:rFonts w:ascii="Times New Roman" w:hAnsi="Times New Roman"/>
          <w:sz w:val="28"/>
        </w:rPr>
        <w:t>Взрослому следует   давать   ребенку образец диалога с игрушкой: "Я глажу Катю. Вот так: по головке глажу Катю. Не плачь, Катя. Жалею</w:t>
      </w:r>
      <w:r>
        <w:rPr>
          <w:rFonts w:ascii="Times New Roman" w:hAnsi="Times New Roman"/>
          <w:sz w:val="28"/>
        </w:rPr>
        <w:t xml:space="preserve"> </w:t>
      </w:r>
      <w:r>
        <w:rPr>
          <w:rFonts w:ascii="Times New Roman" w:hAnsi="Times New Roman"/>
          <w:sz w:val="28"/>
        </w:rPr>
        <w:t xml:space="preserve">Катю.  Обнимаю Катю. Катя не плачет. Смеется Катя!" Если игра проводится впервые,   то необходимо "проиграть"   весь речевой сюжет на глазах у детей. </w:t>
      </w:r>
      <w:r>
        <w:rPr>
          <w:rFonts w:ascii="Times New Roman" w:hAnsi="Times New Roman"/>
          <w:sz w:val="28"/>
        </w:rPr>
        <w:t>Играя, нельзя отвлекаться от сюжета: например, сделать замечания детям или привлекать их к участию в игре, так как в этом случае теряется целостность восприятия сюжета.</w:t>
      </w:r>
    </w:p>
    <w:p w14:paraId="13000000">
      <w:pPr>
        <w:spacing w:line="360" w:lineRule="auto"/>
        <w:ind w:firstLine="709" w:left="0"/>
        <w:contextualSpacing w:val="1"/>
        <w:jc w:val="both"/>
        <w:rPr>
          <w:rFonts w:ascii="Times New Roman" w:hAnsi="Times New Roman"/>
          <w:sz w:val="28"/>
        </w:rPr>
      </w:pPr>
      <w:r>
        <w:rPr>
          <w:rFonts w:ascii="Times New Roman" w:hAnsi="Times New Roman"/>
          <w:sz w:val="28"/>
        </w:rPr>
        <w:t>Когда речевой сюжет или его фрагмент "проигран" полностью, его можно повторить уже с участием детей, побуждая их к выполнению игровых  действий: “Погладь Катю. Вот так погладь Катю. Пожалей</w:t>
      </w:r>
      <w:r>
        <w:rPr>
          <w:rFonts w:ascii="Times New Roman" w:hAnsi="Times New Roman"/>
          <w:sz w:val="28"/>
        </w:rPr>
        <w:t>… С</w:t>
      </w:r>
      <w:r>
        <w:rPr>
          <w:rFonts w:ascii="Times New Roman" w:hAnsi="Times New Roman"/>
          <w:sz w:val="28"/>
        </w:rPr>
        <w:t xml:space="preserve">кажи: не плачь, Катя!” (сравните с первым образцом речи). Таким образом, </w:t>
      </w:r>
      <w:r>
        <w:rPr>
          <w:rFonts w:ascii="Times New Roman" w:hAnsi="Times New Roman"/>
          <w:sz w:val="28"/>
        </w:rPr>
        <w:t>педагог</w:t>
      </w:r>
      <w:r>
        <w:rPr>
          <w:rFonts w:ascii="Times New Roman" w:hAnsi="Times New Roman"/>
          <w:sz w:val="28"/>
        </w:rPr>
        <w:t xml:space="preserve"> одновременно демонстрирует образцы и ре</w:t>
      </w:r>
      <w:r>
        <w:rPr>
          <w:rFonts w:ascii="Times New Roman" w:hAnsi="Times New Roman"/>
          <w:sz w:val="28"/>
        </w:rPr>
        <w:t>чевого, и игрового   поведения.</w:t>
      </w:r>
    </w:p>
    <w:p w14:paraId="14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В ходе игры воспитатель </w:t>
      </w:r>
      <w:bookmarkStart w:id="1" w:name="_GoBack"/>
      <w:bookmarkEnd w:id="1"/>
      <w:r>
        <w:rPr>
          <w:rFonts w:ascii="Times New Roman" w:hAnsi="Times New Roman"/>
          <w:sz w:val="28"/>
        </w:rPr>
        <w:t>должен искренне перевоплощаться в то или иное лицо, чтобы затронуть эмоции ребенка, заставить его сопереживать. Взрослый, взяв на себя игровую роль, способствует переводу неорганизованных действий в собственно игровые, показывает нео</w:t>
      </w:r>
      <w:r>
        <w:rPr>
          <w:rFonts w:ascii="Times New Roman" w:hAnsi="Times New Roman"/>
          <w:sz w:val="28"/>
        </w:rPr>
        <w:t>бходимость участия в игре речи.</w:t>
      </w:r>
    </w:p>
    <w:p w14:paraId="15000000">
      <w:pPr>
        <w:spacing w:line="360" w:lineRule="auto"/>
        <w:ind w:firstLine="709" w:left="0"/>
        <w:contextualSpacing w:val="1"/>
        <w:jc w:val="both"/>
        <w:rPr>
          <w:rFonts w:ascii="Times New Roman" w:hAnsi="Times New Roman"/>
          <w:sz w:val="28"/>
        </w:rPr>
      </w:pPr>
      <w:r>
        <w:rPr>
          <w:rFonts w:ascii="Times New Roman" w:hAnsi="Times New Roman"/>
          <w:sz w:val="28"/>
        </w:rPr>
        <w:t>Необходимым условием успешного развития речи детей в сюжетно-ролевой игре является подбор разнообразных игрушек: кукол, одежды для них, наборов посуды, мебели, овощей и фруктов, машин различного назначения и т. д. Однако наряду с сюжетными игрушками, изображающими в уменьшенном виде реальные предметы, которые замещают реальные (палочки, кубики, шарики и т.д.).</w:t>
      </w:r>
      <w:r>
        <w:rPr>
          <w:rFonts w:ascii="Times New Roman" w:hAnsi="Times New Roman"/>
          <w:sz w:val="28"/>
        </w:rPr>
        <w:t xml:space="preserve"> </w:t>
      </w:r>
      <w:r>
        <w:rPr>
          <w:rFonts w:ascii="Times New Roman" w:hAnsi="Times New Roman"/>
          <w:sz w:val="28"/>
        </w:rPr>
        <w:t>По мере овладения детьми сюжетно-ролевой игрой взрослому следует показать, что можно использовать карандаш или палочку вместо градусника, а кубик вместо мыла. Обращение в игре к заменителям ставит детей перед необходимостью переименовать предмет, а затем сообщить об этом другим играющим. Таким образом, в игре, кроме речи, определяемой особенностями взятой на себя роли, появляется речь, функцией которой является согласование совместных де</w:t>
      </w:r>
      <w:r>
        <w:rPr>
          <w:rFonts w:ascii="Times New Roman" w:hAnsi="Times New Roman"/>
          <w:sz w:val="28"/>
        </w:rPr>
        <w:t>йствий.</w:t>
      </w:r>
    </w:p>
    <w:p w14:paraId="16000000">
      <w:pPr>
        <w:spacing w:line="360" w:lineRule="auto"/>
        <w:ind w:firstLine="709" w:left="0"/>
        <w:contextualSpacing w:val="1"/>
        <w:jc w:val="both"/>
        <w:rPr>
          <w:rFonts w:ascii="Times New Roman" w:hAnsi="Times New Roman"/>
          <w:sz w:val="28"/>
        </w:rPr>
      </w:pPr>
      <w:r>
        <w:rPr>
          <w:rFonts w:ascii="Times New Roman" w:hAnsi="Times New Roman"/>
          <w:sz w:val="28"/>
        </w:rPr>
        <w:t xml:space="preserve">Целесообразно организовывать с детьми такие игры, в которых участвуют все дети группы. Примерами таких игр могут быть </w:t>
      </w:r>
      <w:r>
        <w:rPr>
          <w:rFonts w:ascii="Times New Roman" w:hAnsi="Times New Roman"/>
          <w:sz w:val="28"/>
        </w:rPr>
        <w:t>следующие</w:t>
      </w:r>
      <w:r>
        <w:rPr>
          <w:rFonts w:ascii="Times New Roman" w:hAnsi="Times New Roman"/>
          <w:sz w:val="28"/>
        </w:rPr>
        <w:t xml:space="preserve">:  </w:t>
      </w:r>
    </w:p>
    <w:p w14:paraId="17000000">
      <w:pPr>
        <w:spacing w:line="360" w:lineRule="auto"/>
        <w:ind w:firstLine="709" w:left="0"/>
        <w:contextualSpacing w:val="1"/>
        <w:jc w:val="both"/>
        <w:rPr>
          <w:rFonts w:ascii="Times New Roman" w:hAnsi="Times New Roman"/>
          <w:sz w:val="28"/>
        </w:rPr>
      </w:pPr>
      <w:r>
        <w:rPr>
          <w:rFonts w:ascii="Times New Roman" w:hAnsi="Times New Roman"/>
          <w:sz w:val="28"/>
        </w:rPr>
        <w:t>Салон красоты «Маленькая фея»</w:t>
      </w:r>
    </w:p>
    <w:p w14:paraId="18000000">
      <w:pPr>
        <w:spacing w:line="360" w:lineRule="auto"/>
        <w:ind w:firstLine="709" w:left="0"/>
        <w:contextualSpacing w:val="1"/>
        <w:jc w:val="both"/>
        <w:rPr>
          <w:rFonts w:ascii="Times New Roman" w:hAnsi="Times New Roman"/>
          <w:sz w:val="28"/>
        </w:rPr>
      </w:pPr>
      <w:r>
        <w:rPr>
          <w:rFonts w:ascii="Times New Roman" w:hAnsi="Times New Roman"/>
          <w:sz w:val="28"/>
        </w:rPr>
        <w:t>Цель: познакомить детей с профессиями парикмахера, косметолога, визажиста, воспитывать культуру общения, расширять  словарный запас детей.</w:t>
      </w:r>
    </w:p>
    <w:p w14:paraId="19000000">
      <w:pPr>
        <w:spacing w:line="360" w:lineRule="auto"/>
        <w:ind w:firstLine="709" w:left="0"/>
        <w:contextualSpacing w:val="1"/>
        <w:jc w:val="both"/>
        <w:rPr>
          <w:rFonts w:ascii="Times New Roman" w:hAnsi="Times New Roman"/>
          <w:sz w:val="28"/>
        </w:rPr>
      </w:pPr>
      <w:r>
        <w:rPr>
          <w:rFonts w:ascii="Times New Roman" w:hAnsi="Times New Roman"/>
          <w:sz w:val="28"/>
        </w:rPr>
        <w:t>Поликлиника.</w:t>
      </w:r>
    </w:p>
    <w:p w14:paraId="1A000000">
      <w:pPr>
        <w:spacing w:line="360" w:lineRule="auto"/>
        <w:ind w:firstLine="709" w:left="0"/>
        <w:contextualSpacing w:val="1"/>
        <w:jc w:val="both"/>
        <w:rPr>
          <w:rFonts w:ascii="Times New Roman" w:hAnsi="Times New Roman"/>
          <w:sz w:val="28"/>
        </w:rPr>
      </w:pPr>
      <w:r>
        <w:rPr>
          <w:rFonts w:ascii="Times New Roman" w:hAnsi="Times New Roman"/>
          <w:sz w:val="28"/>
        </w:rPr>
        <w:t>Цель:  знакомить детей с профессиями врача, медсестры, санитарки, воспитывать уважение к этим профессиям, воспитывать заботливое отношение к людям, расширять словарный запас детей-ввести понятие «аптека», фармацевт», осмотр»,  «доктор», «медсестра», «поликлиника», «рецепт».</w:t>
      </w:r>
    </w:p>
    <w:p w14:paraId="1B000000">
      <w:pPr>
        <w:spacing w:line="360" w:lineRule="auto"/>
        <w:ind w:firstLine="709" w:left="0"/>
        <w:contextualSpacing w:val="1"/>
        <w:jc w:val="both"/>
        <w:rPr>
          <w:rFonts w:ascii="Times New Roman" w:hAnsi="Times New Roman"/>
          <w:sz w:val="28"/>
        </w:rPr>
      </w:pPr>
      <w:r>
        <w:rPr>
          <w:rFonts w:ascii="Times New Roman" w:hAnsi="Times New Roman"/>
          <w:sz w:val="28"/>
        </w:rPr>
        <w:t>Семья.</w:t>
      </w:r>
    </w:p>
    <w:p w14:paraId="1C000000">
      <w:pPr>
        <w:spacing w:line="360" w:lineRule="auto"/>
        <w:ind w:firstLine="709" w:left="0"/>
        <w:contextualSpacing w:val="1"/>
        <w:jc w:val="both"/>
        <w:rPr>
          <w:rFonts w:ascii="Times New Roman" w:hAnsi="Times New Roman"/>
          <w:sz w:val="28"/>
        </w:rPr>
      </w:pPr>
      <w:r>
        <w:rPr>
          <w:rFonts w:ascii="Times New Roman" w:hAnsi="Times New Roman"/>
          <w:sz w:val="28"/>
        </w:rPr>
        <w:t>Цель: сформировать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14:paraId="1D000000">
      <w:pPr>
        <w:spacing w:line="360" w:lineRule="auto"/>
        <w:ind w:firstLine="709" w:left="0"/>
        <w:contextualSpacing w:val="1"/>
        <w:jc w:val="both"/>
        <w:rPr>
          <w:rFonts w:ascii="Times New Roman" w:hAnsi="Times New Roman"/>
          <w:sz w:val="28"/>
        </w:rPr>
      </w:pPr>
      <w:r>
        <w:rPr>
          <w:rFonts w:ascii="Times New Roman" w:hAnsi="Times New Roman"/>
          <w:sz w:val="28"/>
        </w:rPr>
        <w:t>Супермаркет.</w:t>
      </w:r>
    </w:p>
    <w:p w14:paraId="1E000000">
      <w:pPr>
        <w:spacing w:line="360" w:lineRule="auto"/>
        <w:ind w:firstLine="709" w:left="0"/>
        <w:contextualSpacing w:val="1"/>
        <w:jc w:val="both"/>
        <w:rPr>
          <w:rFonts w:ascii="Times New Roman" w:hAnsi="Times New Roman"/>
          <w:sz w:val="28"/>
        </w:rPr>
      </w:pPr>
      <w:r>
        <w:rPr>
          <w:rFonts w:ascii="Times New Roman" w:hAnsi="Times New Roman"/>
          <w:sz w:val="28"/>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14:paraId="1F000000">
      <w:pPr>
        <w:spacing w:line="360" w:lineRule="auto"/>
        <w:ind w:firstLine="709" w:left="0"/>
        <w:contextualSpacing w:val="1"/>
        <w:jc w:val="both"/>
        <w:rPr>
          <w:rFonts w:ascii="Times New Roman" w:hAnsi="Times New Roman"/>
          <w:sz w:val="28"/>
        </w:rPr>
      </w:pPr>
      <w:r>
        <w:rPr>
          <w:rFonts w:ascii="Times New Roman" w:hAnsi="Times New Roman"/>
          <w:sz w:val="28"/>
        </w:rPr>
        <w:t>Нам весело (на прогулке).</w:t>
      </w:r>
    </w:p>
    <w:p w14:paraId="20000000">
      <w:pPr>
        <w:spacing w:line="360" w:lineRule="auto"/>
        <w:ind w:firstLine="709" w:left="0"/>
        <w:contextualSpacing w:val="1"/>
        <w:jc w:val="both"/>
        <w:rPr>
          <w:rFonts w:ascii="Times New Roman" w:hAnsi="Times New Roman"/>
          <w:sz w:val="28"/>
        </w:rPr>
      </w:pPr>
      <w:r>
        <w:rPr>
          <w:rFonts w:ascii="Times New Roman" w:hAnsi="Times New Roman"/>
          <w:sz w:val="28"/>
        </w:rPr>
        <w:t>Цель: привлекать детей к участию в юмористических забавах, воспитывать навыки самостоятельности при организации и подготовке забав, способствовать объединению детей, развивать эмоциональную сферу ребенка, воспитывать оптимизм, жизнелюбие, чувство коллективизма, взаимопомощи.</w:t>
      </w:r>
    </w:p>
    <w:p w14:paraId="21000000">
      <w:pPr>
        <w:spacing w:line="360" w:lineRule="auto"/>
        <w:ind w:firstLine="709" w:left="0"/>
        <w:contextualSpacing w:val="1"/>
        <w:jc w:val="both"/>
        <w:rPr>
          <w:rFonts w:ascii="Times New Roman" w:hAnsi="Times New Roman"/>
          <w:sz w:val="28"/>
        </w:rPr>
      </w:pPr>
      <w:r>
        <w:rPr>
          <w:rFonts w:ascii="Times New Roman" w:hAnsi="Times New Roman"/>
          <w:sz w:val="28"/>
        </w:rPr>
        <w:t>Мир театра.</w:t>
      </w:r>
    </w:p>
    <w:p w14:paraId="22000000">
      <w:pPr>
        <w:spacing w:line="360" w:lineRule="auto"/>
        <w:ind w:firstLine="709" w:left="0"/>
        <w:contextualSpacing w:val="1"/>
        <w:jc w:val="both"/>
        <w:rPr>
          <w:rFonts w:ascii="Times New Roman" w:hAnsi="Times New Roman"/>
          <w:sz w:val="28"/>
        </w:rPr>
      </w:pPr>
      <w:r>
        <w:rPr>
          <w:rFonts w:ascii="Times New Roman" w:hAnsi="Times New Roman"/>
          <w:sz w:val="28"/>
        </w:rPr>
        <w:t>Цель: дать детям представление о разных видах театрального искусства: кукольном театре, театре драмы и комедии, настольном и пальчиковом театре, развивать и поощрять сочинительские способности детей, интерес к творчеству, воспитывать чувство уверенности, самостоятельности в творчестве.</w:t>
      </w:r>
    </w:p>
    <w:p w14:paraId="23000000">
      <w:pPr>
        <w:spacing w:line="360" w:lineRule="auto"/>
        <w:ind w:firstLine="709" w:left="0"/>
        <w:contextualSpacing w:val="1"/>
        <w:jc w:val="both"/>
        <w:rPr>
          <w:rFonts w:ascii="Times New Roman" w:hAnsi="Times New Roman"/>
          <w:sz w:val="28"/>
        </w:rPr>
      </w:pPr>
      <w:r>
        <w:rPr>
          <w:rFonts w:ascii="Times New Roman" w:hAnsi="Times New Roman"/>
          <w:sz w:val="28"/>
        </w:rPr>
        <w:t>Организуя с детьми сюжетно-ролевые игры, мы решаем важные задачи по развитию всех компонентов устной речи ребенка, формулированию психических качеств и личностных особенностей, воспитанию нравственно-волевых качеств, творческих способностей.</w:t>
      </w:r>
    </w:p>
    <w:p w14:paraId="24000000">
      <w:pPr>
        <w:spacing w:line="360" w:lineRule="auto"/>
        <w:ind w:firstLine="709" w:left="0"/>
        <w:contextualSpacing w:val="1"/>
        <w:jc w:val="both"/>
        <w:rPr>
          <w:rFonts w:ascii="Times New Roman" w:hAnsi="Times New Roman"/>
          <w:sz w:val="28"/>
        </w:rPr>
      </w:pPr>
    </w:p>
    <w:p w14:paraId="25000000">
      <w:pPr>
        <w:spacing w:line="360" w:lineRule="auto"/>
        <w:ind w:firstLine="709" w:left="0"/>
        <w:contextualSpacing w:val="1"/>
        <w:jc w:val="both"/>
        <w:rPr>
          <w:rFonts w:ascii="Times New Roman" w:hAnsi="Times New Roman"/>
          <w:sz w:val="28"/>
        </w:rPr>
      </w:pPr>
      <w:r>
        <w:rPr>
          <w:rFonts w:ascii="Times New Roman" w:hAnsi="Times New Roman"/>
          <w:sz w:val="28"/>
        </w:rPr>
        <w:t>Список использованной литературы:</w:t>
      </w:r>
    </w:p>
    <w:p w14:paraId="26000000">
      <w:pPr>
        <w:pStyle w:val="Style_2"/>
        <w:numPr>
          <w:ilvl w:val="0"/>
          <w:numId w:val="1"/>
        </w:numPr>
        <w:spacing w:line="360" w:lineRule="auto"/>
        <w:ind/>
        <w:jc w:val="both"/>
        <w:rPr>
          <w:rFonts w:ascii="Times New Roman" w:hAnsi="Times New Roman"/>
          <w:sz w:val="28"/>
        </w:rPr>
      </w:pPr>
      <w:r>
        <w:rPr>
          <w:rFonts w:ascii="Times New Roman" w:hAnsi="Times New Roman"/>
          <w:sz w:val="28"/>
        </w:rPr>
        <w:t xml:space="preserve">Миронова С.А. Логопедическая работа в дошкольных учреждениях и группах для детей с нарушениями речи. – М.: А.П.О., 1993. </w:t>
      </w:r>
      <w:r>
        <w:rPr>
          <w:rFonts w:ascii="Times New Roman" w:hAnsi="Times New Roman"/>
          <w:sz w:val="28"/>
        </w:rPr>
        <w:t>–</w:t>
      </w:r>
      <w:r>
        <w:rPr>
          <w:rFonts w:ascii="Times New Roman" w:hAnsi="Times New Roman"/>
          <w:sz w:val="28"/>
        </w:rPr>
        <w:t xml:space="preserve"> с</w:t>
      </w:r>
      <w:r>
        <w:rPr>
          <w:rFonts w:ascii="Times New Roman" w:hAnsi="Times New Roman"/>
          <w:sz w:val="28"/>
        </w:rPr>
        <w:t>.</w:t>
      </w:r>
      <w:r>
        <w:rPr>
          <w:rFonts w:ascii="Times New Roman" w:hAnsi="Times New Roman"/>
          <w:sz w:val="28"/>
        </w:rPr>
        <w:t xml:space="preserve"> 36 – 43</w:t>
      </w:r>
      <w:r>
        <w:rPr>
          <w:rFonts w:ascii="Times New Roman" w:hAnsi="Times New Roman"/>
          <w:sz w:val="28"/>
        </w:rPr>
        <w:t>.</w:t>
      </w:r>
    </w:p>
    <w:p w14:paraId="27000000">
      <w:pPr>
        <w:pStyle w:val="Style_2"/>
        <w:numPr>
          <w:ilvl w:val="0"/>
          <w:numId w:val="1"/>
        </w:numPr>
        <w:spacing w:line="360" w:lineRule="auto"/>
        <w:ind/>
        <w:jc w:val="both"/>
        <w:rPr>
          <w:rFonts w:ascii="Times New Roman" w:hAnsi="Times New Roman"/>
          <w:sz w:val="28"/>
        </w:rPr>
      </w:pPr>
      <w:r>
        <w:rPr>
          <w:rFonts w:ascii="Times New Roman" w:hAnsi="Times New Roman"/>
          <w:sz w:val="28"/>
        </w:rPr>
        <w:t>Давыдов В.В., Петровский В.А. и др. Концепция дошкольного воспитания  //Дошкольное воспитание.-1989.-№5.</w:t>
      </w:r>
    </w:p>
    <w:p w14:paraId="28000000">
      <w:pPr>
        <w:pStyle w:val="Style_2"/>
        <w:numPr>
          <w:ilvl w:val="0"/>
          <w:numId w:val="1"/>
        </w:numPr>
        <w:spacing w:line="360" w:lineRule="auto"/>
        <w:ind/>
        <w:jc w:val="both"/>
        <w:rPr>
          <w:rFonts w:ascii="Times New Roman" w:hAnsi="Times New Roman"/>
          <w:sz w:val="28"/>
        </w:rPr>
      </w:pPr>
      <w:r>
        <w:rPr>
          <w:rFonts w:ascii="Times New Roman" w:hAnsi="Times New Roman"/>
          <w:sz w:val="28"/>
        </w:rPr>
        <w:t>Краснощекова Н.В. «Сюжетно-ролевые игры для дет</w:t>
      </w:r>
      <w:r>
        <w:rPr>
          <w:rFonts w:ascii="Times New Roman" w:hAnsi="Times New Roman"/>
          <w:sz w:val="28"/>
        </w:rPr>
        <w:t>ей дошкольного возраста», 2006.</w:t>
      </w:r>
    </w:p>
    <w:p w14:paraId="29000000">
      <w:pPr>
        <w:pStyle w:val="Style_2"/>
        <w:numPr>
          <w:ilvl w:val="0"/>
          <w:numId w:val="1"/>
        </w:numPr>
        <w:spacing w:line="360" w:lineRule="auto"/>
        <w:ind/>
        <w:jc w:val="both"/>
        <w:rPr>
          <w:rFonts w:ascii="Times New Roman" w:hAnsi="Times New Roman"/>
          <w:sz w:val="28"/>
        </w:rPr>
      </w:pPr>
      <w:r>
        <w:rPr>
          <w:rFonts w:ascii="Times New Roman" w:hAnsi="Times New Roman"/>
          <w:sz w:val="28"/>
        </w:rPr>
        <w:t>Кравцова Е.Е. "Разбудить в ребенке Волшебника" М.: Просвещение, 2007</w:t>
      </w:r>
      <w:r>
        <w:rPr>
          <w:rFonts w:ascii="Times New Roman" w:hAnsi="Times New Roman"/>
          <w:sz w:val="28"/>
        </w:rPr>
        <w:t>.</w:t>
      </w:r>
    </w:p>
    <w:p w14:paraId="2A000000">
      <w:pPr>
        <w:pStyle w:val="Style_2"/>
        <w:numPr>
          <w:ilvl w:val="0"/>
          <w:numId w:val="1"/>
        </w:numPr>
        <w:spacing w:line="360" w:lineRule="auto"/>
        <w:ind/>
        <w:jc w:val="both"/>
        <w:rPr>
          <w:rFonts w:ascii="Times New Roman" w:hAnsi="Times New Roman"/>
          <w:sz w:val="28"/>
        </w:rPr>
      </w:pPr>
      <w:r>
        <w:rPr>
          <w:rFonts w:ascii="Times New Roman" w:hAnsi="Times New Roman"/>
          <w:sz w:val="28"/>
        </w:rPr>
        <w:t>Выгодский Л.С.</w:t>
      </w:r>
      <w:r>
        <w:rPr>
          <w:rFonts w:ascii="Times New Roman" w:hAnsi="Times New Roman"/>
          <w:sz w:val="28"/>
        </w:rPr>
        <w:t xml:space="preserve"> </w:t>
      </w:r>
      <w:r>
        <w:rPr>
          <w:rFonts w:ascii="Times New Roman" w:hAnsi="Times New Roman"/>
          <w:sz w:val="28"/>
        </w:rPr>
        <w:t>Собрание сочинений. Т.5. - М.: Педагогика, 2003. - 136 с.</w:t>
      </w:r>
    </w:p>
    <w:sectPr>
      <w:footerReference r:id="rId1" w:type="default"/>
      <w:pgSz w:h="16838" w:orient="portrait" w:w="11906"/>
      <w:pgMar w:bottom="1134"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fldChar w:fldCharType="begin"/>
    </w:r>
    <w:r>
      <w:instrText xml:space="preserve">PAGE </w:instrText>
    </w:r>
    <w:r>
      <w:fldChar w:fldCharType="separate"/>
    </w:r>
    <w:r>
      <w:fldChar w:fldCharType="end"/>
    </w:r>
  </w:p>
  <w:p w14:paraId="01000000">
    <w:pPr>
      <w:pStyle w:val="Style_1"/>
      <w:ind/>
      <w:jc w:val="right"/>
    </w:pPr>
  </w:p>
  <w:p w14:paraId="02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style>
  <w:style w:default="1" w:styleId="Style_3_ch" w:type="character">
    <w:name w:val="Normal"/>
    <w:link w:val="Style_3"/>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3"/>
    <w:link w:val="Style_9_ch"/>
    <w:uiPriority w:val="39"/>
    <w:pPr>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3"/>
    <w:link w:val="Style_10_ch"/>
    <w:uiPriority w:val="9"/>
    <w:qFormat/>
    <w:pPr>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3"/>
    <w:link w:val="Style_11_ch"/>
    <w:uiPriority w:val="9"/>
    <w:qFormat/>
    <w:pPr>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2" w:type="paragraph">
    <w:name w:val="List Paragraph"/>
    <w:basedOn w:val="Style_3"/>
    <w:link w:val="Style_2_ch"/>
    <w:pPr>
      <w:ind w:firstLine="0" w:left="720"/>
      <w:contextualSpacing w:val="1"/>
    </w:pPr>
  </w:style>
  <w:style w:styleId="Style_2_ch" w:type="character">
    <w:name w:val="List Paragraph"/>
    <w:basedOn w:val="Style_3_ch"/>
    <w:link w:val="Style_2"/>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3"/>
    <w:link w:val="Style_14_ch"/>
    <w:uiPriority w:val="39"/>
    <w:pPr>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header"/>
    <w:basedOn w:val="Style_3"/>
    <w:link w:val="Style_15_ch"/>
    <w:pPr>
      <w:tabs>
        <w:tab w:leader="none" w:pos="4677" w:val="center"/>
        <w:tab w:leader="none" w:pos="9355" w:val="right"/>
      </w:tabs>
      <w:spacing w:after="0" w:line="240" w:lineRule="auto"/>
      <w:ind/>
    </w:pPr>
  </w:style>
  <w:style w:styleId="Style_15_ch" w:type="character">
    <w:name w:val="header"/>
    <w:basedOn w:val="Style_3_ch"/>
    <w:link w:val="Style_15"/>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Default Paragraph Font"/>
    <w:link w:val="Style_18_ch"/>
  </w:style>
  <w:style w:styleId="Style_18_ch" w:type="character">
    <w:name w:val="Default Paragraph Font"/>
    <w:link w:val="Style_18"/>
  </w:style>
  <w:style w:styleId="Style_1" w:type="paragraph">
    <w:name w:val="footer"/>
    <w:basedOn w:val="Style_3"/>
    <w:link w:val="Style_1_ch"/>
    <w:pPr>
      <w:tabs>
        <w:tab w:leader="none" w:pos="4677" w:val="center"/>
        <w:tab w:leader="none" w:pos="9355" w:val="right"/>
      </w:tabs>
      <w:spacing w:after="0" w:line="240" w:lineRule="auto"/>
      <w:ind/>
    </w:pPr>
  </w:style>
  <w:style w:styleId="Style_1_ch" w:type="character">
    <w:name w:val="footer"/>
    <w:basedOn w:val="Style_3_ch"/>
    <w:link w:val="Style_1"/>
  </w:style>
  <w:style w:styleId="Style_19" w:type="paragraph">
    <w:name w:val="toc 8"/>
    <w:next w:val="Style_3"/>
    <w:link w:val="Style_19_ch"/>
    <w:uiPriority w:val="39"/>
    <w:pPr>
      <w:ind w:firstLine="0" w:left="1400"/>
      <w:jc w:val="left"/>
    </w:pPr>
    <w:rPr>
      <w:rFonts w:ascii="XO Thames" w:hAnsi="XO Thames"/>
      <w:sz w:val="28"/>
    </w:rPr>
  </w:style>
  <w:style w:styleId="Style_19_ch" w:type="character">
    <w:name w:val="toc 8"/>
    <w:link w:val="Style_19"/>
    <w:rPr>
      <w:rFonts w:ascii="XO Thames" w:hAnsi="XO Thames"/>
      <w:sz w:val="28"/>
    </w:rPr>
  </w:style>
  <w:style w:styleId="Style_20" w:type="paragraph">
    <w:name w:val="toc 5"/>
    <w:next w:val="Style_3"/>
    <w:link w:val="Style_20_ch"/>
    <w:uiPriority w:val="39"/>
    <w:pPr>
      <w:ind w:firstLine="0" w:left="800"/>
      <w:jc w:val="left"/>
    </w:pPr>
    <w:rPr>
      <w:rFonts w:ascii="XO Thames" w:hAnsi="XO Thames"/>
      <w:sz w:val="28"/>
    </w:rPr>
  </w:style>
  <w:style w:styleId="Style_20_ch" w:type="character">
    <w:name w:val="toc 5"/>
    <w:link w:val="Style_20"/>
    <w:rPr>
      <w:rFonts w:ascii="XO Thames" w:hAnsi="XO Thames"/>
      <w:sz w:val="28"/>
    </w:rPr>
  </w:style>
  <w:style w:styleId="Style_21" w:type="paragraph">
    <w:name w:val="Subtitle"/>
    <w:next w:val="Style_3"/>
    <w:link w:val="Style_21_ch"/>
    <w:uiPriority w:val="11"/>
    <w:qFormat/>
    <w:pPr>
      <w:ind/>
      <w:jc w:val="both"/>
    </w:pPr>
    <w:rPr>
      <w:rFonts w:ascii="XO Thames" w:hAnsi="XO Thames"/>
      <w:i w:val="1"/>
      <w:sz w:val="24"/>
    </w:rPr>
  </w:style>
  <w:style w:styleId="Style_21_ch" w:type="character">
    <w:name w:val="Subtitle"/>
    <w:link w:val="Style_21"/>
    <w:rPr>
      <w:rFonts w:ascii="XO Thames" w:hAnsi="XO Thames"/>
      <w:i w:val="1"/>
      <w:sz w:val="24"/>
    </w:rPr>
  </w:style>
  <w:style w:styleId="Style_22" w:type="paragraph">
    <w:name w:val="Title"/>
    <w:next w:val="Style_3"/>
    <w:link w:val="Style_22_ch"/>
    <w:uiPriority w:val="10"/>
    <w:qFormat/>
    <w:pPr>
      <w:spacing w:after="567" w:before="567"/>
      <w:ind/>
      <w:jc w:val="center"/>
    </w:pPr>
    <w:rPr>
      <w:rFonts w:ascii="XO Thames" w:hAnsi="XO Thames"/>
      <w:b w:val="1"/>
      <w:caps w:val="1"/>
      <w:sz w:val="40"/>
    </w:rPr>
  </w:style>
  <w:style w:styleId="Style_22_ch" w:type="character">
    <w:name w:val="Title"/>
    <w:link w:val="Style_22"/>
    <w:rPr>
      <w:rFonts w:ascii="XO Thames" w:hAnsi="XO Thames"/>
      <w:b w:val="1"/>
      <w:caps w:val="1"/>
      <w:sz w:val="40"/>
    </w:rPr>
  </w:style>
  <w:style w:styleId="Style_23" w:type="paragraph">
    <w:name w:val="heading 4"/>
    <w:next w:val="Style_3"/>
    <w:link w:val="Style_23_ch"/>
    <w:uiPriority w:val="9"/>
    <w:qFormat/>
    <w:pPr>
      <w:spacing w:after="120" w:before="120"/>
      <w:ind/>
      <w:jc w:val="both"/>
      <w:outlineLvl w:val="3"/>
    </w:pPr>
    <w:rPr>
      <w:rFonts w:ascii="XO Thames" w:hAnsi="XO Thames"/>
      <w:b w:val="1"/>
      <w:sz w:val="24"/>
    </w:rPr>
  </w:style>
  <w:style w:styleId="Style_23_ch" w:type="character">
    <w:name w:val="heading 4"/>
    <w:link w:val="Style_23"/>
    <w:rPr>
      <w:rFonts w:ascii="XO Thames" w:hAnsi="XO Thames"/>
      <w:b w:val="1"/>
      <w:sz w:val="24"/>
    </w:rPr>
  </w:style>
  <w:style w:styleId="Style_24" w:type="paragraph">
    <w:name w:val="heading 2"/>
    <w:next w:val="Style_3"/>
    <w:link w:val="Style_24_ch"/>
    <w:uiPriority w:val="9"/>
    <w:qFormat/>
    <w:pPr>
      <w:spacing w:after="120" w:before="120"/>
      <w:ind/>
      <w:jc w:val="both"/>
      <w:outlineLvl w:val="1"/>
    </w:pPr>
    <w:rPr>
      <w:rFonts w:ascii="XO Thames" w:hAnsi="XO Thames"/>
      <w:b w:val="1"/>
      <w:sz w:val="28"/>
    </w:rPr>
  </w:style>
  <w:style w:styleId="Style_24_ch" w:type="character">
    <w:name w:val="heading 2"/>
    <w:link w:val="Style_24"/>
    <w:rPr>
      <w:rFonts w:ascii="XO Thames" w:hAnsi="XO Thames"/>
      <w:b w:val="1"/>
      <w:sz w:val="28"/>
    </w:rPr>
  </w:style>
  <w:style w:default="1" w:styleId="Style_25"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2025-04-07T15:43:18Z</dcterms:modified>
</cp:coreProperties>
</file>