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7CE0A" w14:textId="77777777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Формирование навыка</w:t>
      </w:r>
      <w:r w:rsidRPr="0099243E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совместного внимания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у детей с РАС</w:t>
      </w:r>
    </w:p>
    <w:p w14:paraId="04AF0CF4" w14:textId="77777777" w:rsidR="006C4D38" w:rsidRDefault="006C4D38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1B28510B" w14:textId="4A908DAF" w:rsidR="0099243E" w:rsidRDefault="006C4D38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6C4D38"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  <w:t>Автор: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Сантос 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Майорга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Л.С., учитель-дефектолог ГКОУ </w:t>
      </w:r>
      <w:r w:rsidRPr="006C4D38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специальная (коррекционная) школа-интернат </w:t>
      </w:r>
      <w:proofErr w:type="spellStart"/>
      <w:r w:rsidRPr="006C4D38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ст-цы</w:t>
      </w:r>
      <w:proofErr w:type="spellEnd"/>
      <w:r w:rsidRPr="006C4D38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Полтавской </w:t>
      </w:r>
      <w:proofErr w:type="gramStart"/>
      <w:r w:rsidRPr="006C4D38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Краснодарского  края</w:t>
      </w:r>
      <w:proofErr w:type="gramEnd"/>
    </w:p>
    <w:p w14:paraId="26985063" w14:textId="77777777" w:rsidR="006C4D38" w:rsidRDefault="006C4D38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74B9CCC3" w14:textId="77777777" w:rsid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Совместное внимание – это один из важнейших навыков, закладывающих основу для дальнейшей социализации ребенка.</w:t>
      </w:r>
    </w:p>
    <w:p w14:paraId="16F156C5" w14:textId="77777777" w:rsid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 литературе можно встретить следующие определения совместного внимания:</w:t>
      </w:r>
    </w:p>
    <w:p w14:paraId="439A75D8" w14:textId="77777777" w:rsidR="0099243E" w:rsidRPr="0099243E" w:rsidRDefault="0099243E" w:rsidP="0000719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- д</w:t>
      </w: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ва человека активно совместно обращают внимание на объект; они следят за тем, чтобы партнёр также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обращал внимание не этот объект</w:t>
      </w: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(</w:t>
      </w:r>
      <w:proofErr w:type="spellStart"/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Isaksen</w:t>
      </w:r>
      <w:proofErr w:type="spellEnd"/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&amp; Holth,2009)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;</w:t>
      </w:r>
    </w:p>
    <w:p w14:paraId="17A7B4BD" w14:textId="77777777" w:rsidR="0099243E" w:rsidRPr="0099243E" w:rsidRDefault="0099243E" w:rsidP="0000719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- с</w:t>
      </w: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овпадени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е ментального фокуса двух людей</w:t>
      </w: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(Baldwin,1995)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;</w:t>
      </w:r>
    </w:p>
    <w:p w14:paraId="17CD8543" w14:textId="77777777" w:rsidR="0099243E" w:rsidRDefault="0099243E" w:rsidP="0000719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- с</w:t>
      </w: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инхронное внимание двух или большего количества людей по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отношению к объекту или событию</w:t>
      </w: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(Holth,2016)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27E2392" w14:textId="77777777" w:rsid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 онтогенезе с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овместное внимание – это один из самых ранних</w:t>
      </w: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навык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ов</w:t>
      </w:r>
      <w:r w:rsidR="00132B38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 Можно проследить этапы формирования навыка совместного внимания:</w:t>
      </w:r>
    </w:p>
    <w:p w14:paraId="7C2775C5" w14:textId="77777777" w:rsidR="00834608" w:rsidRDefault="00834608" w:rsidP="0000719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-0-6 месяцев: реакция на лицо взрослого</w:t>
      </w:r>
      <w:r w:rsidR="009E0B70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, фокусирование на нем;</w:t>
      </w:r>
    </w:p>
    <w:p w14:paraId="10DE0FB0" w14:textId="77777777" w:rsidR="009E0B70" w:rsidRDefault="009E0B70" w:rsidP="0000719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dark1"/>
          <w:kern w:val="24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- 6-9 месяцев: </w:t>
      </w:r>
      <w:r w:rsidRPr="0099243E">
        <w:rPr>
          <w:rFonts w:ascii="Times New Roman" w:eastAsia="Times New Roman" w:hAnsi="Times New Roman" w:cs="Times New Roman"/>
          <w:color w:val="000000" w:themeColor="dark1"/>
          <w:kern w:val="24"/>
          <w:sz w:val="28"/>
          <w:szCs w:val="28"/>
          <w:lang w:eastAsia="ru-RU"/>
        </w:rPr>
        <w:t>слежение за перемещением другого;</w:t>
      </w:r>
    </w:p>
    <w:p w14:paraId="320C9600" w14:textId="77777777" w:rsidR="009E0B70" w:rsidRDefault="009E0B70" w:rsidP="0000719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dark1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dark1"/>
          <w:kern w:val="24"/>
          <w:sz w:val="28"/>
          <w:szCs w:val="28"/>
          <w:lang w:eastAsia="ru-RU"/>
        </w:rPr>
        <w:t xml:space="preserve">- 9-12 месяцев: </w:t>
      </w:r>
      <w:r w:rsidRPr="0099243E">
        <w:rPr>
          <w:rFonts w:ascii="Times New Roman" w:eastAsia="Times New Roman" w:hAnsi="Times New Roman" w:cs="Times New Roman"/>
          <w:color w:val="000000" w:themeColor="dark1"/>
          <w:kern w:val="24"/>
          <w:sz w:val="28"/>
          <w:szCs w:val="28"/>
          <w:lang w:eastAsia="ru-RU"/>
        </w:rPr>
        <w:t>перемещен</w:t>
      </w:r>
      <w:r w:rsidR="00361693">
        <w:rPr>
          <w:rFonts w:ascii="Times New Roman" w:eastAsia="Times New Roman" w:hAnsi="Times New Roman" w:cs="Times New Roman"/>
          <w:color w:val="000000" w:themeColor="dark1"/>
          <w:kern w:val="24"/>
          <w:sz w:val="28"/>
          <w:szCs w:val="28"/>
          <w:lang w:eastAsia="ru-RU"/>
        </w:rPr>
        <w:t>ие взгляда от объекта к объекту,</w:t>
      </w:r>
      <w:r w:rsidRPr="0099243E">
        <w:rPr>
          <w:rFonts w:ascii="Times New Roman" w:eastAsia="Times New Roman" w:hAnsi="Times New Roman" w:cs="Times New Roman"/>
          <w:color w:val="000000" w:themeColor="dark1"/>
          <w:kern w:val="24"/>
          <w:sz w:val="28"/>
          <w:szCs w:val="28"/>
          <w:lang w:eastAsia="ru-RU"/>
        </w:rPr>
        <w:t xml:space="preserve"> о</w:t>
      </w:r>
      <w:r w:rsidR="00361693">
        <w:rPr>
          <w:rFonts w:ascii="Times New Roman" w:eastAsia="Times New Roman" w:hAnsi="Times New Roman" w:cs="Times New Roman"/>
          <w:color w:val="000000" w:themeColor="dark1"/>
          <w:kern w:val="24"/>
          <w:sz w:val="28"/>
          <w:szCs w:val="28"/>
          <w:lang w:eastAsia="ru-RU"/>
        </w:rPr>
        <w:t>риентировка тела/головы на звук,</w:t>
      </w:r>
      <w:r w:rsidRPr="0099243E">
        <w:rPr>
          <w:rFonts w:ascii="Times New Roman" w:eastAsia="Times New Roman" w:hAnsi="Times New Roman" w:cs="Times New Roman"/>
          <w:color w:val="000000" w:themeColor="dark1"/>
          <w:kern w:val="24"/>
          <w:sz w:val="28"/>
          <w:szCs w:val="28"/>
          <w:lang w:eastAsia="ru-RU"/>
        </w:rPr>
        <w:t xml:space="preserve"> ориентировка тела/головы на имя</w:t>
      </w:r>
      <w:r w:rsidR="00361693">
        <w:rPr>
          <w:rFonts w:ascii="Times New Roman" w:eastAsia="Times New Roman" w:hAnsi="Times New Roman" w:cs="Times New Roman"/>
          <w:color w:val="000000" w:themeColor="dark1"/>
          <w:kern w:val="24"/>
          <w:sz w:val="28"/>
          <w:szCs w:val="28"/>
          <w:lang w:eastAsia="ru-RU"/>
        </w:rPr>
        <w:t>;</w:t>
      </w:r>
    </w:p>
    <w:p w14:paraId="27E34748" w14:textId="77777777" w:rsidR="00361693" w:rsidRDefault="00361693" w:rsidP="0000719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dark1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dark1"/>
          <w:kern w:val="24"/>
          <w:sz w:val="28"/>
          <w:szCs w:val="28"/>
          <w:lang w:eastAsia="ru-RU"/>
        </w:rPr>
        <w:t>- 12-18 месяцев:</w:t>
      </w:r>
      <w:r w:rsidR="00132B38" w:rsidRPr="00132B38">
        <w:rPr>
          <w:rFonts w:ascii="Times New Roman" w:eastAsia="Times New Roman" w:hAnsi="Times New Roman" w:cs="Times New Roman"/>
          <w:color w:val="000000" w:themeColor="dark1"/>
          <w:kern w:val="24"/>
          <w:sz w:val="40"/>
          <w:szCs w:val="40"/>
          <w:lang w:eastAsia="ru-RU"/>
        </w:rPr>
        <w:t xml:space="preserve"> </w:t>
      </w:r>
      <w:r w:rsidR="00132B38" w:rsidRPr="0099243E">
        <w:rPr>
          <w:rFonts w:ascii="Times New Roman" w:eastAsia="Times New Roman" w:hAnsi="Times New Roman" w:cs="Times New Roman"/>
          <w:color w:val="000000" w:themeColor="dark1"/>
          <w:kern w:val="24"/>
          <w:sz w:val="28"/>
          <w:szCs w:val="28"/>
          <w:lang w:eastAsia="ru-RU"/>
        </w:rPr>
        <w:t>перемещение взгляда между объектом и знакомым человеком комбинируется с жестами в направлении объекта</w:t>
      </w:r>
      <w:r w:rsidR="00132B38">
        <w:rPr>
          <w:rFonts w:ascii="Times New Roman" w:eastAsia="Times New Roman" w:hAnsi="Times New Roman" w:cs="Times New Roman"/>
          <w:color w:val="000000" w:themeColor="dark1"/>
          <w:kern w:val="24"/>
          <w:sz w:val="28"/>
          <w:szCs w:val="28"/>
          <w:lang w:eastAsia="ru-RU"/>
        </w:rPr>
        <w:t>;</w:t>
      </w:r>
    </w:p>
    <w:p w14:paraId="5532615B" w14:textId="435B1C38" w:rsidR="00132B38" w:rsidRDefault="00132B38" w:rsidP="0000719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dark1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dark1"/>
          <w:kern w:val="24"/>
          <w:sz w:val="28"/>
          <w:szCs w:val="28"/>
          <w:lang w:eastAsia="ru-RU"/>
        </w:rPr>
        <w:t xml:space="preserve">- 18 месяцев и позже: </w:t>
      </w:r>
      <w:r w:rsidRPr="0099243E">
        <w:rPr>
          <w:rFonts w:ascii="Times New Roman" w:eastAsia="Times New Roman" w:hAnsi="Times New Roman" w:cs="Times New Roman"/>
          <w:color w:val="000000" w:themeColor="dark1"/>
          <w:kern w:val="24"/>
          <w:sz w:val="28"/>
          <w:szCs w:val="28"/>
          <w:lang w:eastAsia="ru-RU"/>
        </w:rPr>
        <w:t>перемещение взгляда между объектом и знакомым человеком комбинируется с жестами в направлении объекта, звуками, зрительным контактом, показом объекта собеседнику (родителю</w:t>
      </w:r>
      <w:r>
        <w:rPr>
          <w:rFonts w:ascii="Times New Roman" w:eastAsia="Times New Roman" w:hAnsi="Times New Roman" w:cs="Times New Roman"/>
          <w:color w:val="000000" w:themeColor="dark1"/>
          <w:kern w:val="24"/>
          <w:sz w:val="28"/>
          <w:szCs w:val="28"/>
          <w:lang w:eastAsia="ru-RU"/>
        </w:rPr>
        <w:t>).</w:t>
      </w:r>
    </w:p>
    <w:p w14:paraId="1956683D" w14:textId="173396DE" w:rsidR="00007190" w:rsidRPr="00361693" w:rsidRDefault="00007190" w:rsidP="00007190">
      <w:pPr>
        <w:spacing w:after="0" w:line="360" w:lineRule="auto"/>
        <w:ind w:firstLine="567"/>
        <w:contextualSpacing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dark1"/>
          <w:kern w:val="24"/>
          <w:sz w:val="28"/>
          <w:szCs w:val="28"/>
          <w:lang w:eastAsia="ru-RU"/>
        </w:rPr>
        <w:t>У детей с аутизмом наблюдаются значительные трудности в развитии совместного внимания, что ограничивает их возможности в коммуникативной сфере.</w:t>
      </w:r>
    </w:p>
    <w:p w14:paraId="08CDD5D9" w14:textId="65EA2603" w:rsidR="00132B38" w:rsidRDefault="00007190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lastRenderedPageBreak/>
        <w:t>Поэтому р</w:t>
      </w:r>
      <w:r w:rsidR="00132B38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азвитие совместного внимания является основой для дальнейших коммуникативных и социальных навыков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для детей с аутизмом</w:t>
      </w:r>
      <w:r w:rsidR="00132B38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</w:t>
      </w:r>
      <w:r w:rsid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ab/>
      </w:r>
    </w:p>
    <w:p w14:paraId="5B91ADFD" w14:textId="6115ED3E" w:rsidR="0099243E" w:rsidRPr="0099243E" w:rsidRDefault="00007190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Этот навык можно сформировать</w:t>
      </w:r>
      <w:r w:rsidR="0099243E"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даже у неговорящего ребенка, который не пользуется никакими видами альтернативной коммуникации. </w:t>
      </w:r>
    </w:p>
    <w:p w14:paraId="7ECC99AC" w14:textId="77777777" w:rsid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132B38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Чтобы начать работать над формированием совместного внимания, нужно определить текущий уровень развития ребенка в этой сфере.</w:t>
      </w:r>
    </w:p>
    <w:p w14:paraId="0A3068BA" w14:textId="77777777" w:rsidR="00132B38" w:rsidRDefault="00132B38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Оценке будут подлежать следующие параметры: </w:t>
      </w:r>
    </w:p>
    <w:p w14:paraId="7E2E6A2E" w14:textId="77777777" w:rsidR="00132B38" w:rsidRDefault="00132B38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- наблюдение (как ребенок взаимодействует с окружающими, следит ли он за действиями других);</w:t>
      </w:r>
    </w:p>
    <w:p w14:paraId="55AC52E8" w14:textId="77777777" w:rsidR="00132B38" w:rsidRDefault="00132B38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- коммуникация (способен ли ребенок поддерживать зрительный контакт, использует ли он собственные звуки или жесты для привлечения внимания другого);</w:t>
      </w:r>
    </w:p>
    <w:p w14:paraId="4EF57336" w14:textId="77777777" w:rsidR="00132B38" w:rsidRPr="0099243E" w:rsidRDefault="00132B38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- социальная игра (</w:t>
      </w:r>
      <w:r w:rsidR="00F756A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интересуется ли ребенок играми, в которых требуется совместное внимание, берет ли предметы, чтобы поделиться ими с другим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)</w:t>
      </w:r>
      <w:r w:rsidR="00F756A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3951ABCB" w14:textId="5D401F5B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План </w:t>
      </w:r>
      <w:bookmarkStart w:id="0" w:name="_Hlk192704010"/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обучения совместному вниманию </w:t>
      </w:r>
      <w:bookmarkEnd w:id="0"/>
      <w:r w:rsidR="00EF33E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может быть построен </w:t>
      </w: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следующим образом:</w:t>
      </w:r>
    </w:p>
    <w:p w14:paraId="30DA6AF2" w14:textId="77777777" w:rsidR="00EF33E4" w:rsidRDefault="0099243E" w:rsidP="00EF33E4">
      <w:pPr>
        <w:pStyle w:val="a4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F756A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Формирование предварительных навыков</w:t>
      </w:r>
    </w:p>
    <w:p w14:paraId="441A678E" w14:textId="77777777" w:rsidR="00EF33E4" w:rsidRDefault="00EF33E4" w:rsidP="00EF33E4">
      <w:pPr>
        <w:pStyle w:val="a4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Ф</w:t>
      </w:r>
      <w:r w:rsidR="0099243E" w:rsidRPr="00EF33E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ормирование зрительного контакта за столом и в натуральной среде во время просьбы;</w:t>
      </w:r>
    </w:p>
    <w:p w14:paraId="2E34CBDC" w14:textId="4403968A" w:rsidR="0099243E" w:rsidRPr="00EF33E4" w:rsidRDefault="00EF33E4" w:rsidP="00EF33E4">
      <w:pPr>
        <w:pStyle w:val="a4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Ф</w:t>
      </w:r>
      <w:r w:rsidR="0099243E" w:rsidRPr="00EF33E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ормирование реакции на социальное одобрение.</w:t>
      </w:r>
    </w:p>
    <w:p w14:paraId="6D872BC4" w14:textId="79333862" w:rsidR="00EF33E4" w:rsidRPr="00EF33E4" w:rsidRDefault="00EF33E4" w:rsidP="00EF33E4">
      <w:pPr>
        <w:spacing w:after="0" w:line="36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EF33E4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Формирование предварительных навыков</w:t>
      </w:r>
    </w:p>
    <w:p w14:paraId="563AC154" w14:textId="17C4A1FD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proofErr w:type="gramStart"/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Предварительные  навыки</w:t>
      </w:r>
      <w:proofErr w:type="gramEnd"/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формируются с помощью специальных упражнений.</w:t>
      </w:r>
    </w:p>
    <w:p w14:paraId="2717A9AE" w14:textId="77777777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Упражнение 1:</w:t>
      </w: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педагог берет мотивационную игрушку, помещает ее в поле зрения ребенка. </w:t>
      </w:r>
    </w:p>
    <w:p w14:paraId="51D53CD8" w14:textId="77777777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Поведение ребенка:</w:t>
      </w: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переводит глаза на игрушку и начинает с ней играть.</w:t>
      </w:r>
    </w:p>
    <w:p w14:paraId="7C8C12FE" w14:textId="77777777" w:rsidR="0099243E" w:rsidRPr="0099243E" w:rsidRDefault="00F756AB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Это упражнение необходимо</w:t>
      </w:r>
      <w:r w:rsidR="0099243E"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для того, чтобы научить ребенка реагировать на взаимодействие со взрослым.</w:t>
      </w:r>
    </w:p>
    <w:p w14:paraId="24C18306" w14:textId="61B90708" w:rsidR="0099243E" w:rsidRPr="0099243E" w:rsidRDefault="00F756AB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Calibri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  <w:t>В</w:t>
      </w:r>
      <w:r w:rsidR="0099243E" w:rsidRPr="0099243E">
        <w:rPr>
          <w:rFonts w:ascii="Times New Roman" w:eastAsia="Calibri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  <w:t>озможна ситуация, когда трудно подобрать мотивационную игрушку, т</w:t>
      </w:r>
      <w:r>
        <w:rPr>
          <w:rFonts w:ascii="Times New Roman" w:eastAsia="Calibri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  <w:t xml:space="preserve">огда следует </w:t>
      </w:r>
      <w:r w:rsidR="00EF33E4">
        <w:rPr>
          <w:rFonts w:ascii="Times New Roman" w:eastAsia="Calibri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  <w:t>сделать выбор в пользу</w:t>
      </w:r>
      <w:r w:rsidR="0099243E" w:rsidRPr="0099243E">
        <w:rPr>
          <w:rFonts w:ascii="Times New Roman" w:eastAsia="Calibri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  <w:t xml:space="preserve"> пищево</w:t>
      </w:r>
      <w:r w:rsidR="00EF33E4">
        <w:rPr>
          <w:rFonts w:ascii="Times New Roman" w:eastAsia="Calibri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  <w:t>го</w:t>
      </w:r>
      <w:r w:rsidR="0099243E" w:rsidRPr="0099243E">
        <w:rPr>
          <w:rFonts w:ascii="Times New Roman" w:eastAsia="Calibri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  <w:t xml:space="preserve"> поощрени</w:t>
      </w:r>
      <w:r w:rsidR="00EF33E4">
        <w:rPr>
          <w:rFonts w:ascii="Times New Roman" w:eastAsia="Calibri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  <w:t>я</w:t>
      </w:r>
      <w:r w:rsidR="0099243E" w:rsidRPr="0099243E">
        <w:rPr>
          <w:rFonts w:ascii="Times New Roman" w:eastAsia="Calibri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  <w:t>.</w:t>
      </w:r>
    </w:p>
    <w:p w14:paraId="2ECC549F" w14:textId="77777777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</w:pPr>
      <w:r w:rsidRPr="0099243E">
        <w:rPr>
          <w:rFonts w:ascii="Times New Roman" w:eastAsia="Calibri" w:hAnsi="Times New Roman" w:cs="Times New Roman"/>
          <w:b/>
          <w:noProof/>
          <w:kern w:val="2"/>
          <w:sz w:val="28"/>
          <w:szCs w:val="28"/>
          <w:lang w:eastAsia="ru-RU"/>
          <w14:ligatures w14:val="standardContextual"/>
        </w:rPr>
        <w:lastRenderedPageBreak/>
        <w:t>Упражнение 2:</w:t>
      </w:r>
      <w:r w:rsidRPr="0099243E">
        <w:rPr>
          <w:rFonts w:ascii="Times New Roman" w:eastAsia="Calibri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  <w:t xml:space="preserve"> педагог стучит по игрушке так, что слышен звук; игрушка находится вне поля зрения ребенка.</w:t>
      </w:r>
    </w:p>
    <w:p w14:paraId="6FD730A0" w14:textId="77777777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</w:pPr>
      <w:r w:rsidRPr="0099243E">
        <w:rPr>
          <w:rFonts w:ascii="Times New Roman" w:eastAsia="Calibri" w:hAnsi="Times New Roman" w:cs="Times New Roman"/>
          <w:i/>
          <w:noProof/>
          <w:kern w:val="2"/>
          <w:sz w:val="28"/>
          <w:szCs w:val="28"/>
          <w:lang w:eastAsia="ru-RU"/>
          <w14:ligatures w14:val="standardContextual"/>
        </w:rPr>
        <w:t>Поведение ребенка:</w:t>
      </w:r>
      <w:r w:rsidRPr="0099243E">
        <w:rPr>
          <w:rFonts w:ascii="Times New Roman" w:eastAsia="Calibri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  <w:t xml:space="preserve"> разворачивает голову, переводит взгляд на игрушку, берет её у взрослого и начинает играть.</w:t>
      </w:r>
    </w:p>
    <w:p w14:paraId="2D71544D" w14:textId="77777777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</w:pPr>
      <w:r w:rsidRPr="0099243E">
        <w:rPr>
          <w:rFonts w:ascii="Times New Roman" w:eastAsia="Calibri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  <w:t>Цель этого упражнения состоит в том, чтобы научить ребенка реагировать на звук: поворачивать тело/голову, переводить взгляд на игрушку и брать её.</w:t>
      </w:r>
    </w:p>
    <w:p w14:paraId="6FBBD048" w14:textId="77777777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Упражнение 3:</w:t>
      </w: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педагог </w:t>
      </w:r>
      <w:proofErr w:type="gramStart"/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толкает  игрушку</w:t>
      </w:r>
      <w:proofErr w:type="gramEnd"/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так, чтобы она попала в поле зрения ребенка.</w:t>
      </w:r>
    </w:p>
    <w:p w14:paraId="133250D9" w14:textId="77777777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Поведение ребенка</w:t>
      </w: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: следит за движением игрушки, затем берет её и начинает играть.</w:t>
      </w:r>
    </w:p>
    <w:p w14:paraId="0C543D86" w14:textId="5009CDBF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Возможна ситуация, когда ребенок не следит за игрушкой. Тогда педагог может использовать физические подсказки: например, поворот головы или указательный жест. </w:t>
      </w:r>
    </w:p>
    <w:p w14:paraId="16C8E2FF" w14:textId="77777777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Также можно использовать модификацию этого упражнения и следить не за игрушкой, а за солнечным зайчиком.</w:t>
      </w:r>
    </w:p>
    <w:p w14:paraId="33B915A6" w14:textId="77777777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Упражнение «Солнечный зайчик</w:t>
      </w: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»: педагог направляет свет от фонарика в поле зрения ребенка.</w:t>
      </w:r>
    </w:p>
    <w:p w14:paraId="5E803FF1" w14:textId="77777777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Поведение ребенка: следит за движением солнечного зайчика и пытается его поймать. </w:t>
      </w:r>
    </w:p>
    <w:p w14:paraId="7921FB0E" w14:textId="77777777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Когда эти упражнения</w:t>
      </w:r>
      <w:r w:rsidR="00F756A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проведены</w:t>
      </w: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, необходимо оценить промежуточный итог. Может ли ребенок:</w:t>
      </w:r>
    </w:p>
    <w:p w14:paraId="27A9479E" w14:textId="77777777" w:rsidR="0099243E" w:rsidRPr="0099243E" w:rsidRDefault="0099243E" w:rsidP="00007190">
      <w:pPr>
        <w:numPr>
          <w:ilvl w:val="0"/>
          <w:numId w:val="2"/>
        </w:numPr>
        <w:spacing w:after="0" w:line="360" w:lineRule="auto"/>
        <w:ind w:left="-142"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Переводить взгляд на игрушку.</w:t>
      </w:r>
    </w:p>
    <w:p w14:paraId="242D31DF" w14:textId="77777777" w:rsidR="0099243E" w:rsidRPr="0099243E" w:rsidRDefault="0099243E" w:rsidP="00007190">
      <w:pPr>
        <w:numPr>
          <w:ilvl w:val="0"/>
          <w:numId w:val="2"/>
        </w:numPr>
        <w:spacing w:after="0" w:line="360" w:lineRule="auto"/>
        <w:ind w:left="-142"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Смотреть на поощрение</w:t>
      </w:r>
    </w:p>
    <w:p w14:paraId="74DEF7B3" w14:textId="77777777" w:rsidR="0099243E" w:rsidRPr="0099243E" w:rsidRDefault="0099243E" w:rsidP="00007190">
      <w:pPr>
        <w:numPr>
          <w:ilvl w:val="0"/>
          <w:numId w:val="2"/>
        </w:numPr>
        <w:spacing w:after="0" w:line="360" w:lineRule="auto"/>
        <w:ind w:left="-142"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Реагировать на звук</w:t>
      </w:r>
    </w:p>
    <w:p w14:paraId="28D17701" w14:textId="77777777" w:rsidR="0099243E" w:rsidRPr="0099243E" w:rsidRDefault="0099243E" w:rsidP="00007190">
      <w:pPr>
        <w:numPr>
          <w:ilvl w:val="0"/>
          <w:numId w:val="2"/>
        </w:numPr>
        <w:spacing w:after="0" w:line="360" w:lineRule="auto"/>
        <w:ind w:left="-142"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Следить за перемещающимся предметом</w:t>
      </w:r>
    </w:p>
    <w:p w14:paraId="06CF2746" w14:textId="5FA88820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Е</w:t>
      </w:r>
      <w:r w:rsidR="00F756A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сли эти навыки сформированы, можно</w:t>
      </w: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переходить к </w:t>
      </w:r>
      <w:r w:rsidR="00EF33E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следующему </w:t>
      </w: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этапу.</w:t>
      </w:r>
    </w:p>
    <w:p w14:paraId="47E165C9" w14:textId="5F7B231E" w:rsidR="004540F3" w:rsidRDefault="00EF33E4" w:rsidP="00EF33E4">
      <w:pPr>
        <w:spacing w:after="0" w:line="36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Ф</w:t>
      </w:r>
      <w:r w:rsidR="004540F3" w:rsidRPr="004540F3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ормирование зрительного контакта за столом и в нат</w:t>
      </w:r>
      <w:r w:rsidR="004540F3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уральной среде во время просьбы</w:t>
      </w:r>
    </w:p>
    <w:p w14:paraId="2D0AADAE" w14:textId="77777777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lastRenderedPageBreak/>
        <w:t>Для формирования зрительного контакта понадобится следующее упражнение.</w:t>
      </w:r>
    </w:p>
    <w:p w14:paraId="0DB5C800" w14:textId="77777777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Упражнение</w:t>
      </w:r>
      <w:r w:rsidR="00F756AB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 4</w:t>
      </w:r>
      <w:r w:rsidRPr="0099243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:</w:t>
      </w: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педагог контролирует игрушку, находящуюся в поле зрения ребенка. От ребенка требуется посмотреть на взрослого, чтобы ее получить.</w:t>
      </w:r>
    </w:p>
    <w:p w14:paraId="11C66F09" w14:textId="77777777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i/>
          <w:noProof/>
          <w:kern w:val="2"/>
          <w:sz w:val="28"/>
          <w:szCs w:val="28"/>
          <w:lang w:eastAsia="ru-RU"/>
          <w14:ligatures w14:val="standardContextual"/>
        </w:rPr>
        <w:t>Поведение ребенка:</w:t>
      </w:r>
      <w:r w:rsidRPr="0099243E">
        <w:rPr>
          <w:rFonts w:ascii="Times New Roman" w:eastAsia="Calibri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  <w:t xml:space="preserve"> смотрит на взрослого и берет игрушку.</w:t>
      </w:r>
    </w:p>
    <w:p w14:paraId="049E673E" w14:textId="77777777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Чтобы установить зрительный контакт, потребуется самые разнообразные подсказки, в соответствии с возможностями ребенка </w:t>
      </w:r>
    </w:p>
    <w:p w14:paraId="4BEB6720" w14:textId="61964AC5" w:rsidR="0099243E" w:rsidRPr="0099243E" w:rsidRDefault="00F756AB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Взрослый должен</w:t>
      </w:r>
      <w:r w:rsidR="0099243E"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продуцировать начальный зрительный контакт, используя все виды помощи: «залезть» в глаза ребенка, присесть на его уровень, поднять игрушку до уровня глаз, чтобы он, смотря на предмет, имел хотя бы мимолетный зрительный контакт с </w:t>
      </w:r>
      <w:r w:rsidR="00EF33E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педагогом</w:t>
      </w:r>
      <w:r w:rsidR="0099243E"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 Используется максимальное количество помощи, чтобы сформировать реакцию «посмотрел в глаза – получил желаемое». Затем помощь постепенно убирается и навык становится самостоятельным.</w:t>
      </w:r>
    </w:p>
    <w:p w14:paraId="20E019E8" w14:textId="77777777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При формировании зрительного контакта </w:t>
      </w:r>
      <w:proofErr w:type="gramStart"/>
      <w:r w:rsidR="00F756A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необходимо </w:t>
      </w: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двигаться</w:t>
      </w:r>
      <w:proofErr w:type="gramEnd"/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от более простой реакции к сложной:</w:t>
      </w:r>
    </w:p>
    <w:p w14:paraId="504EA69B" w14:textId="77777777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- ребенок демонстрирует мимолетный зрительный контакт;</w:t>
      </w:r>
    </w:p>
    <w:p w14:paraId="745A7387" w14:textId="77777777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- продолжительность зрительного контакта 1 сек;</w:t>
      </w:r>
    </w:p>
    <w:p w14:paraId="4D0EFF79" w14:textId="77777777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- продолжительность зрительного контакта 2 сек;</w:t>
      </w:r>
    </w:p>
    <w:p w14:paraId="536BA17E" w14:textId="77777777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- продолжительность зрительного контакта 3 сек.</w:t>
      </w:r>
    </w:p>
    <w:p w14:paraId="631F4520" w14:textId="77777777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Затем начинается освоение второго блока этапа 1.</w:t>
      </w:r>
    </w:p>
    <w:p w14:paraId="7435FCE2" w14:textId="02A984B7" w:rsidR="0099243E" w:rsidRPr="0099243E" w:rsidRDefault="00EF33E4" w:rsidP="00EF33E4">
      <w:pPr>
        <w:spacing w:after="0" w:line="36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Ф</w:t>
      </w:r>
      <w:r w:rsidR="0099243E" w:rsidRPr="0099243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ормирование реакции на социальное одобрение</w:t>
      </w:r>
    </w:p>
    <w:p w14:paraId="56335087" w14:textId="77777777" w:rsidR="0099243E" w:rsidRPr="0099243E" w:rsidRDefault="002A51A1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Ц</w:t>
      </w:r>
      <w:r w:rsidR="0099243E"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ель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этапа</w:t>
      </w:r>
      <w:r w:rsidR="0099243E"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– сформировать у ребенка поведение: «беру стимул со стола по кивку и улыбке взрослого»</w:t>
      </w:r>
    </w:p>
    <w:p w14:paraId="09A53093" w14:textId="77777777" w:rsidR="0099243E" w:rsidRPr="0099243E" w:rsidRDefault="0099243E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Для формирования этого навыка </w:t>
      </w:r>
      <w:proofErr w:type="gramStart"/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нужна  следующая</w:t>
      </w:r>
      <w:proofErr w:type="gramEnd"/>
      <w:r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поведенческая цепочка: на столе лежит объект – ребенок тянется и смотрит в глаза – педагог кивает и улыбается – ребенок берет объект.</w:t>
      </w:r>
    </w:p>
    <w:p w14:paraId="21452F9A" w14:textId="77777777" w:rsidR="002A51A1" w:rsidRDefault="002A51A1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lastRenderedPageBreak/>
        <w:t>Н</w:t>
      </w:r>
      <w:r w:rsidR="0099243E"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а начальном этапе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главная задача педагога</w:t>
      </w:r>
      <w:r w:rsidR="003B4EC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99243E" w:rsidRPr="0099243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– поймать мимолетный зрительный контакт, кивнуть и улыбнуться. </w:t>
      </w:r>
      <w:r w:rsidR="003B4ECC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Постепенно время между зрительным контактом и кивком с улыбкой увеличивается до 3 секунд.</w:t>
      </w:r>
    </w:p>
    <w:p w14:paraId="763FE342" w14:textId="77777777" w:rsidR="003B4ECC" w:rsidRDefault="003B4ECC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Указанные упражнения следует выполнять именно в том порядке, в котором они представлены, действуя </w:t>
      </w:r>
      <w:proofErr w:type="gramStart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по  принципу</w:t>
      </w:r>
      <w:proofErr w:type="gramEnd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: от простого к сложному. Не рекомендуется переходить к </w:t>
      </w:r>
      <w:proofErr w:type="gramStart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выполнению  последующего</w:t>
      </w:r>
      <w:proofErr w:type="gramEnd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упражнения, если не освоено предыдущее.</w:t>
      </w:r>
    </w:p>
    <w:p w14:paraId="0BFE63A6" w14:textId="77777777" w:rsidR="003B4ECC" w:rsidRDefault="003B4ECC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394196C5" w14:textId="2BA6F852" w:rsidR="003B4ECC" w:rsidRDefault="003B4ECC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Литература:</w:t>
      </w:r>
    </w:p>
    <w:p w14:paraId="5FDD91BE" w14:textId="4A1984D5" w:rsidR="00B845FE" w:rsidRDefault="00B849CB" w:rsidP="00B845FE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proofErr w:type="spellStart"/>
      <w:r w:rsidRPr="00B849C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Сахьянова</w:t>
      </w:r>
      <w:proofErr w:type="spellEnd"/>
      <w:r w:rsidRPr="00B849C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С.В. </w:t>
      </w:r>
      <w:r w:rsidR="00B845F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Развитие коммуникации у детей с РАС. </w:t>
      </w:r>
      <w:r w:rsidR="00B845FE" w:rsidRPr="00B845F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Методические рекомендации / </w:t>
      </w:r>
      <w:bookmarkStart w:id="1" w:name="_Hlk198565036"/>
      <w:r w:rsidR="00B845FE" w:rsidRPr="00B845F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С.В. </w:t>
      </w:r>
      <w:proofErr w:type="spellStart"/>
      <w:r w:rsidR="00B845FE" w:rsidRPr="00B845F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Сахьянова</w:t>
      </w:r>
      <w:proofErr w:type="spellEnd"/>
      <w:r w:rsidR="00B845FE" w:rsidRPr="00B845F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bookmarkEnd w:id="1"/>
      <w:r w:rsidR="00B845FE" w:rsidRPr="00B845F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–Иркутск: ГАУ</w:t>
      </w:r>
      <w:r w:rsidR="00B845F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="00B845FE" w:rsidRPr="00B845F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ЦППМиСП</w:t>
      </w:r>
      <w:proofErr w:type="spellEnd"/>
      <w:r w:rsidR="00B845FE" w:rsidRPr="00B845F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, 2021</w:t>
      </w:r>
    </w:p>
    <w:p w14:paraId="4260987C" w14:textId="32B7D3A6" w:rsidR="005A0543" w:rsidRDefault="00B849CB" w:rsidP="00B845FE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Котюсов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А.И., Малых С.Б. </w:t>
      </w:r>
      <w:r w:rsidR="005A0543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Роль совместного внимания в раннем развитии социального познания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//</w:t>
      </w:r>
      <w:r w:rsidR="005A0543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Теоретическая и экспериментальная психология. - 2021. - Т. 14 №2</w:t>
      </w:r>
    </w:p>
    <w:p w14:paraId="253DBD7E" w14:textId="707982A9" w:rsidR="00B845FE" w:rsidRDefault="00037AF4" w:rsidP="00B845FE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hyperlink r:id="rId5" w:history="1">
        <w:r w:rsidR="00B845FE" w:rsidRPr="00322B69">
          <w:rPr>
            <w:rStyle w:val="a5"/>
            <w:rFonts w:ascii="Times New Roman" w:eastAsia="Calibri" w:hAnsi="Times New Roman" w:cs="Times New Roman"/>
            <w:kern w:val="2"/>
            <w:sz w:val="28"/>
            <w:szCs w:val="28"/>
            <w14:ligatures w14:val="standardContextual"/>
          </w:rPr>
          <w:t>https://autismjournal.help/articles/razdelennoe-sovmestnoe-vnimanie-i-autizm-u-rebenka</w:t>
        </w:r>
      </w:hyperlink>
    </w:p>
    <w:p w14:paraId="26A6E1DB" w14:textId="5F1802A2" w:rsidR="00B845FE" w:rsidRDefault="00037AF4" w:rsidP="00B845FE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hyperlink r:id="rId6" w:history="1">
        <w:r w:rsidR="005A0543" w:rsidRPr="00322B69">
          <w:rPr>
            <w:rStyle w:val="a5"/>
            <w:rFonts w:ascii="Times New Roman" w:eastAsia="Calibri" w:hAnsi="Times New Roman" w:cs="Times New Roman"/>
            <w:kern w:val="2"/>
            <w:sz w:val="28"/>
            <w:szCs w:val="28"/>
            <w14:ligatures w14:val="standardContextual"/>
          </w:rPr>
          <w:t>https://aba-class.com</w:t>
        </w:r>
      </w:hyperlink>
    </w:p>
    <w:p w14:paraId="1CD7BA72" w14:textId="77777777" w:rsidR="005A0543" w:rsidRDefault="005A0543" w:rsidP="00B849CB">
      <w:pPr>
        <w:pStyle w:val="a4"/>
        <w:spacing w:after="0" w:line="360" w:lineRule="auto"/>
        <w:ind w:left="927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2441D7A3" w14:textId="77777777" w:rsidR="002A51A1" w:rsidRDefault="002A51A1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0CFA5A6A" w14:textId="77777777" w:rsidR="002A51A1" w:rsidRDefault="002A51A1" w:rsidP="00007190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7B6B51F2" w14:textId="77777777" w:rsidR="005E6184" w:rsidRDefault="005E6184" w:rsidP="00007190">
      <w:pPr>
        <w:spacing w:after="0" w:line="360" w:lineRule="auto"/>
        <w:ind w:firstLine="567"/>
        <w:contextualSpacing/>
        <w:jc w:val="both"/>
      </w:pPr>
    </w:p>
    <w:sectPr w:rsidR="005E6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6675"/>
    <w:multiLevelType w:val="hybridMultilevel"/>
    <w:tmpl w:val="DDAE0DA8"/>
    <w:lvl w:ilvl="0" w:tplc="466AC2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3850B6"/>
    <w:multiLevelType w:val="hybridMultilevel"/>
    <w:tmpl w:val="55AC2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36C40"/>
    <w:multiLevelType w:val="hybridMultilevel"/>
    <w:tmpl w:val="90FEF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603FC"/>
    <w:multiLevelType w:val="hybridMultilevel"/>
    <w:tmpl w:val="C5F282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72517"/>
    <w:multiLevelType w:val="hybridMultilevel"/>
    <w:tmpl w:val="20246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2ED5"/>
    <w:rsid w:val="00007190"/>
    <w:rsid w:val="00037AF4"/>
    <w:rsid w:val="00132B38"/>
    <w:rsid w:val="002A51A1"/>
    <w:rsid w:val="00361693"/>
    <w:rsid w:val="003B4ECC"/>
    <w:rsid w:val="004540F3"/>
    <w:rsid w:val="005A0543"/>
    <w:rsid w:val="005E6184"/>
    <w:rsid w:val="00610797"/>
    <w:rsid w:val="00612289"/>
    <w:rsid w:val="006611D8"/>
    <w:rsid w:val="006C4D38"/>
    <w:rsid w:val="00834608"/>
    <w:rsid w:val="0099243E"/>
    <w:rsid w:val="009E0B70"/>
    <w:rsid w:val="00B845FE"/>
    <w:rsid w:val="00B849CB"/>
    <w:rsid w:val="00EB2ED5"/>
    <w:rsid w:val="00EF33E4"/>
    <w:rsid w:val="00F7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E2144"/>
  <w15:docId w15:val="{22E67D6C-03E0-437C-B788-428A8A301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2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756A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845FE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845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6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ba-class.com" TargetMode="External"/><Relationship Id="rId5" Type="http://schemas.openxmlformats.org/officeDocument/2006/relationships/hyperlink" Target="https://autismjournal.help/articles/razdelennoe-sovmestnoe-vnimanie-i-autizm-u-rebenk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Админ33</dc:creator>
  <cp:keywords/>
  <dc:description/>
  <cp:lastModifiedBy>1</cp:lastModifiedBy>
  <cp:revision>12</cp:revision>
  <dcterms:created xsi:type="dcterms:W3CDTF">2025-05-16T14:59:00Z</dcterms:created>
  <dcterms:modified xsi:type="dcterms:W3CDTF">2025-05-19T14:10:00Z</dcterms:modified>
</cp:coreProperties>
</file>