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598"/>
        <w:jc w:val="center"/>
        <w:rPr>
          <w:rFonts w:ascii="Times New Roman" w:hAnsi="Times New Roman"/>
        </w:rPr>
      </w:pPr>
      <w:r>
        <w:rPr>
          <w:rFonts w:ascii="Times New Roman" w:hAnsi="Times New Roman"/>
          <w:bCs/>
          <w:sz w:val="28"/>
          <w:szCs w:val="28"/>
        </w:rPr>
        <w:t xml:space="preserve">УМК «Английский в фок</w:t>
      </w:r>
      <w:r>
        <w:rPr>
          <w:rFonts w:ascii="Times New Roman" w:hAnsi="Times New Roman"/>
          <w:bCs/>
          <w:sz w:val="28"/>
          <w:szCs w:val="28"/>
        </w:rPr>
        <w:t xml:space="preserve">усе» ("Spotlight") для о</w:t>
      </w:r>
      <w:r>
        <w:rPr>
          <w:rFonts w:ascii="Times New Roman" w:hAnsi="Times New Roman"/>
          <w:bCs/>
          <w:sz w:val="28"/>
          <w:szCs w:val="28"/>
        </w:rPr>
        <w:t xml:space="preserve">бщеобразовательных учреждений (авторы Н. И. Быкова, Д. Дули, М. Д. Поспелова, В. Эванс)</w:t>
      </w:r>
      <w:r>
        <w:rPr>
          <w:rFonts w:ascii="Times New Roman" w:hAnsi="Times New Roman"/>
          <w:bCs/>
          <w:sz w:val="28"/>
          <w:szCs w:val="28"/>
        </w:rPr>
      </w:r>
      <w:r/>
    </w:p>
    <w:p>
      <w:pPr>
        <w:pStyle w:val="598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Module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7</w:t>
      </w:r>
      <w:r>
        <w:rPr>
          <w:rFonts w:ascii="Times New Roman" w:hAnsi="Times New Roman" w:eastAsia="Times New Roman"/>
          <w:b/>
          <w:sz w:val="28"/>
          <w:szCs w:val="28"/>
          <w:highlight w:val="none"/>
          <w:lang w:eastAsia="ru-RU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highlight w:val="none"/>
          <w:lang w:eastAsia="ru-RU"/>
        </w:rPr>
        <w:t xml:space="preserve">Повторение неправильных глаголов.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</w:p>
    <w:p>
      <w:pPr>
        <w:pStyle w:val="598"/>
        <w:spacing w:after="0" w:line="240" w:lineRule="auto"/>
        <w:rPr>
          <w:rFonts w:ascii="Times New Roman" w:hAnsi="Times New Roman" w:eastAsia="Times New Roman"/>
          <w:sz w:val="28"/>
          <w:highlight w:val="none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-актуализация имеющегося опыта</w:t>
      </w:r>
      <w:r/>
      <w:r/>
    </w:p>
    <w:p>
      <w:pPr>
        <w:pStyle w:val="598"/>
        <w:jc w:val="both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(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неправильные глаголы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).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/>
    </w:p>
    <w:p>
      <w:pPr>
        <w:pStyle w:val="598"/>
        <w:jc w:val="both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-работа в парах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/>
    </w:p>
    <w:p>
      <w:pPr>
        <w:pStyle w:val="598"/>
        <w:jc w:val="both"/>
        <w:rPr>
          <w:rFonts w:ascii="Times New Roman" w:hAnsi="Times New Roman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-решение кроссворда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598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8"/>
          <w:szCs w:val="28"/>
        </w:rPr>
        <w:t xml:space="preserve">Учитель раздает учащимся карточки с кроссвордом.</w:t>
      </w:r>
      <w:r>
        <w:rPr>
          <w:rFonts w:ascii="Times New Roman" w:hAnsi="Times New Roman"/>
          <w:b/>
          <w:sz w:val="28"/>
          <w:szCs w:val="28"/>
        </w:rPr>
      </w:r>
      <w:r>
        <w:rPr>
          <w:b/>
        </w:rPr>
      </w:r>
    </w:p>
    <w:p>
      <w:pPr>
        <w:pStyle w:val="598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T: Work in pairs. Find five irregular verbs in the crossword. And make up sentences with these verbs.</w:t>
      </w:r>
      <w:r>
        <w:rPr>
          <w:rFonts w:ascii="Times New Roman" w:hAnsi="Times New Roman"/>
          <w:sz w:val="28"/>
          <w:szCs w:val="28"/>
          <w:lang w:val="en-US"/>
        </w:rPr>
      </w:r>
      <w:r/>
    </w:p>
    <w:p>
      <w:pPr>
        <w:rPr>
          <w:rFonts w:ascii="Times New Roman" w:hAnsi="Times New Roman"/>
          <w:sz w:val="28"/>
          <w:szCs w:val="28"/>
        </w:rPr>
      </w:pPr>
      <w:r/>
      <w:r>
        <w:rPr>
          <w:rFonts w:ascii="Times New Roman" w:hAnsi="Times New Roman"/>
          <w:sz w:val="28"/>
          <w:szCs w:val="28"/>
        </w:rPr>
        <w:t xml:space="preserve">Учащиеся работают в парах с кроссвордом, затем составляют собственные предложения.</w:t>
      </w:r>
      <w:r>
        <w:rPr>
          <w:highlight w:val="none"/>
        </w:rPr>
      </w:r>
    </w:p>
    <w:tbl>
      <w:tblPr>
        <w:tblStyle w:val="undefined"/>
        <w:tblLayout w:type="fixed"/>
        <w:tblLook w:val="0420" w:firstRow="1" w:lastRow="0" w:firstColumn="0" w:lastColumn="0" w:noHBand="0" w:noVBand="1"/>
      </w:tblPr>
      <w:tblGrid>
        <w:gridCol w:w="1559"/>
        <w:gridCol w:w="1559"/>
        <w:gridCol w:w="1559"/>
        <w:gridCol w:w="1559"/>
        <w:gridCol w:w="1559"/>
        <w:gridCol w:w="1559"/>
        <w:gridCol w:w="1559"/>
        <w:gridCol w:w="1559"/>
      </w:tblGrid>
      <w:tr>
        <w:trPr/>
        <w:tc>
          <w:tcPr>
            <w:shd w:val="clear" w:color="4f81bd" w:fill="4f81bd"/>
            <w:tcBorders>
              <w:bottom w:val="single" w:color="FFFFFF" w:sz="2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h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4f81bd" w:fill="4f81bd"/>
            <w:tcBorders>
              <w:bottom w:val="single" w:color="FFFFFF" w:sz="2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g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4f81bd" w:fill="4f81bd"/>
            <w:tcBorders>
              <w:bottom w:val="single" w:color="FFFFFF" w:sz="2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w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4f81bd" w:fill="4f81bd"/>
            <w:tcBorders>
              <w:bottom w:val="single" w:color="FFFFFF" w:sz="2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f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4f81bd" w:fill="4f81bd"/>
            <w:tcBorders>
              <w:bottom w:val="single" w:color="FFFFFF" w:sz="2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j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4f81bd" w:fill="4f81bd"/>
            <w:tcBorders>
              <w:bottom w:val="single" w:color="FFFFFF" w:sz="2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s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4f81bd" w:fill="4f81bd"/>
            <w:tcBorders>
              <w:bottom w:val="single" w:color="FFFFFF" w:sz="2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v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4f81bd" w:fill="4f81bd"/>
            <w:tcBorders>
              <w:bottom w:val="single" w:color="FFFFFF" w:sz="2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n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</w:tr>
      <w:tr>
        <w:trPr/>
        <w:tc>
          <w:tcPr>
            <w:shd w:val="clear" w:color="d0d8e8" w:fill="d0d8e8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s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d0d8e8" w:fill="d0d8e8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h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d0d8e8" w:fill="d0d8e8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w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d0d8e8" w:fill="d0d8e8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e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d0d8e8" w:fill="d0d8e8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n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d0d8e8" w:fill="d0d8e8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t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d0d8e8" w:fill="d0d8e8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d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d0d8e8" w:fill="d0d8e8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e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</w:tr>
      <w:tr>
        <w:trPr/>
        <w:tc>
          <w:tcPr>
            <w:shd w:val="clear" w:color="e9edf4" w:fill="e9edf4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i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e9edf4" w:fill="e9edf4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s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e9edf4" w:fill="e9edf4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j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e9edf4" w:fill="e9edf4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e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e9edf4" w:fill="e9edf4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c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e9edf4" w:fill="e9edf4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x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e9edf4" w:fill="e9edf4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r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e9edf4" w:fill="e9edf4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d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</w:tr>
      <w:tr>
        <w:trPr/>
        <w:tc>
          <w:tcPr>
            <w:shd w:val="clear" w:color="d0d8e8" w:fill="d0d8e8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d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d0d8e8" w:fill="d0d8e8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a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d0d8e8" w:fill="d0d8e8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s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d0d8e8" w:fill="d0d8e8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a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d0d8e8" w:fill="d0d8e8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w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d0d8e8" w:fill="d0d8e8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k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d0d8e8" w:fill="d0d8e8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a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d0d8e8" w:fill="d0d8e8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m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</w:tr>
      <w:tr>
        <w:trPr/>
        <w:tc>
          <w:tcPr>
            <w:shd w:val="clear" w:color="e9edf4" w:fill="e9edf4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v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e9edf4" w:fill="e9edf4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t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e9edf4" w:fill="e9edf4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c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e9edf4" w:fill="e9edf4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n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e9edf4" w:fill="e9edf4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r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e9edf4" w:fill="e9edf4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l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e9edf4" w:fill="e9edf4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n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e9edf4" w:fill="e9edf4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d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</w:tr>
      <w:tr>
        <w:trPr/>
        <w:tc>
          <w:tcPr>
            <w:shd w:val="clear" w:color="d0d8e8" w:fill="d0d8e8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y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d0d8e8" w:fill="d0d8e8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e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d0d8e8" w:fill="d0d8e8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e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d0d8e8" w:fill="d0d8e8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y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d0d8e8" w:fill="d0d8e8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z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d0d8e8" w:fill="d0d8e8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v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d0d8e8" w:fill="d0d8e8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k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d0d8e8" w:fill="d0d8e8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p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</w:tr>
      <w:tr>
        <w:trPr/>
        <w:tc>
          <w:tcPr>
            <w:shd w:val="clear" w:color="e9edf4" w:fill="e9edf4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w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e9edf4" w:fill="e9edf4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t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e9edf4" w:fill="e9edf4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b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e9edf4" w:fill="e9edf4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o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e9edf4" w:fill="e9edf4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u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e9edf4" w:fill="e9edf4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g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e9edf4" w:fill="e9edf4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h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e9edf4" w:fill="e9edf4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en-US"/>
              </w:rPr>
              <w:t xml:space="preserve">t</w:t>
            </w: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</w:tr>
      <w:tr>
        <w:trPr/>
        <w:tc>
          <w:tcPr>
            <w:shd w:val="clear" w:color="d0d8e8" w:fill="d0d8e8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  <w:tc>
          <w:tcPr>
            <w:shd w:val="clear" w:color="d0d8e8" w:fill="d0d8e8"/>
            <w:tcW w:w="1559" w:type="dxa"/>
            <w:vAlign w:val="top"/>
            <w:textDirection w:val="lrTb"/>
            <w:noWrap w:val="false"/>
          </w:tcPr>
          <w:p>
            <w:pPr>
              <w:rPr>
                <w:sz w:val="80"/>
                <w:lang w:val="ru-RU"/>
              </w:rPr>
            </w:pPr>
            <w:r>
              <w:rPr>
                <w:sz w:val="80"/>
                <w:lang w:val="en-US"/>
              </w:rPr>
              <w:t xml:space="preserve">H</w:t>
            </w:r>
            <w:r>
              <w:rPr>
                <w:sz w:val="80"/>
                <w:lang w:val="en-US"/>
              </w:rPr>
              <w:t xml:space="preserve">     </w:t>
            </w:r>
            <w:r>
              <w:rPr>
                <w:sz w:val="80"/>
                <w:lang w:val="ru-RU"/>
              </w:rPr>
            </w:r>
            <w:r>
              <w:rPr>
                <w:sz w:val="80"/>
                <w:lang w:val="ru-RU"/>
              </w:rPr>
            </w:r>
          </w:p>
        </w:tc>
        <w:tc>
          <w:tcPr>
            <w:shd w:val="clear" w:color="d0d8e8" w:fill="d0d8e8"/>
            <w:tcW w:w="1559" w:type="dxa"/>
            <w:vAlign w:val="top"/>
            <w:textDirection w:val="lrTb"/>
            <w:noWrap w:val="false"/>
          </w:tcPr>
          <w:p>
            <w:pPr>
              <w:rPr>
                <w:sz w:val="80"/>
                <w:lang w:val="ru-RU"/>
              </w:rPr>
            </w:pPr>
            <w:r>
              <w:rPr>
                <w:sz w:val="80"/>
                <w:lang w:val="en-US"/>
              </w:rPr>
              <w:t xml:space="preserve">b</w:t>
            </w:r>
            <w:r>
              <w:rPr>
                <w:sz w:val="80"/>
                <w:lang w:val="ru-RU"/>
              </w:rPr>
            </w:r>
            <w:r>
              <w:rPr>
                <w:sz w:val="80"/>
                <w:lang w:val="ru-RU"/>
              </w:rPr>
            </w:r>
          </w:p>
        </w:tc>
        <w:tc>
          <w:tcPr>
            <w:shd w:val="clear" w:color="d0d8e8" w:fill="d0d8e8"/>
            <w:tcW w:w="1559" w:type="dxa"/>
            <w:vAlign w:val="top"/>
            <w:textDirection w:val="lrTb"/>
            <w:noWrap w:val="false"/>
          </w:tcPr>
          <w:p>
            <w:pPr>
              <w:rPr>
                <w:sz w:val="80"/>
                <w:lang w:val="ru-RU"/>
              </w:rPr>
            </w:pPr>
            <w:r>
              <w:rPr>
                <w:sz w:val="80"/>
                <w:lang w:val="en-US"/>
              </w:rPr>
              <w:t xml:space="preserve">s</w:t>
            </w:r>
            <w:r>
              <w:rPr>
                <w:sz w:val="80"/>
                <w:lang w:val="ru-RU"/>
              </w:rPr>
            </w:r>
            <w:r>
              <w:rPr>
                <w:sz w:val="80"/>
                <w:lang w:val="ru-RU"/>
              </w:rPr>
            </w:r>
          </w:p>
        </w:tc>
        <w:tc>
          <w:tcPr>
            <w:shd w:val="clear" w:color="d0d8e8" w:fill="d0d8e8"/>
            <w:tcW w:w="1559" w:type="dxa"/>
            <w:vAlign w:val="top"/>
            <w:textDirection w:val="lrTb"/>
            <w:noWrap w:val="false"/>
          </w:tcPr>
          <w:p>
            <w:pPr>
              <w:rPr>
                <w:sz w:val="80"/>
                <w:lang w:val="ru-RU"/>
              </w:rPr>
            </w:pPr>
            <w:r>
              <w:rPr>
                <w:sz w:val="80"/>
                <w:lang w:val="en-US"/>
              </w:rPr>
              <w:t xml:space="preserve">k</w:t>
            </w:r>
            <w:r>
              <w:rPr>
                <w:sz w:val="80"/>
                <w:lang w:val="ru-RU"/>
              </w:rPr>
            </w:r>
            <w:r>
              <w:rPr>
                <w:sz w:val="80"/>
                <w:lang w:val="ru-RU"/>
              </w:rPr>
            </w:r>
          </w:p>
        </w:tc>
        <w:tc>
          <w:tcPr>
            <w:shd w:val="clear" w:color="d0d8e8" w:fill="d0d8e8"/>
            <w:tcW w:w="1559" w:type="dxa"/>
            <w:vAlign w:val="top"/>
            <w:textDirection w:val="lrTb"/>
            <w:noWrap w:val="false"/>
          </w:tcPr>
          <w:p>
            <w:pPr>
              <w:rPr>
                <w:sz w:val="80"/>
                <w:lang w:val="ru-RU"/>
              </w:rPr>
            </w:pPr>
            <w:r>
              <w:rPr>
                <w:sz w:val="80"/>
                <w:lang w:val="en-US"/>
              </w:rPr>
              <w:t xml:space="preserve">t</w:t>
            </w:r>
            <w:r>
              <w:rPr>
                <w:sz w:val="80"/>
                <w:lang w:val="ru-RU"/>
              </w:rPr>
            </w:r>
            <w:r>
              <w:rPr>
                <w:sz w:val="80"/>
                <w:lang w:val="ru-RU"/>
              </w:rPr>
            </w:r>
          </w:p>
        </w:tc>
        <w:tc>
          <w:tcPr>
            <w:shd w:val="clear" w:color="d0d8e8" w:fill="d0d8e8"/>
            <w:tcW w:w="1559" w:type="dxa"/>
            <w:vAlign w:val="top"/>
            <w:textDirection w:val="lrTb"/>
            <w:noWrap w:val="false"/>
          </w:tcPr>
          <w:p>
            <w:pPr>
              <w:rPr>
                <w:sz w:val="80"/>
                <w:lang w:val="ru-RU"/>
              </w:rPr>
            </w:pPr>
            <w:r>
              <w:rPr>
                <w:sz w:val="80"/>
                <w:lang w:val="en-US"/>
              </w:rPr>
              <w:t xml:space="preserve">o</w:t>
            </w:r>
            <w:r>
              <w:rPr>
                <w:sz w:val="80"/>
                <w:lang w:val="ru-RU"/>
              </w:rPr>
            </w:r>
            <w:r>
              <w:rPr>
                <w:sz w:val="80"/>
                <w:lang w:val="ru-RU"/>
              </w:rPr>
            </w:r>
          </w:p>
        </w:tc>
        <w:tc>
          <w:tcPr>
            <w:shd w:val="clear" w:color="d0d8e8" w:fill="d0d8e8"/>
            <w:tcW w:w="1559" w:type="dxa"/>
            <w:vAlign w:val="top"/>
            <w:textDirection w:val="lrTb"/>
            <w:noWrap w:val="false"/>
          </w:tcPr>
          <w:p>
            <w:pPr>
              <w:rPr>
                <w:sz w:val="88"/>
                <w:lang w:val="ru-RU"/>
              </w:rPr>
            </w:pPr>
            <w:r>
              <w:rPr>
                <w:sz w:val="88"/>
                <w:lang w:val="ru-RU"/>
              </w:rPr>
            </w:r>
            <w:r>
              <w:rPr>
                <w:sz w:val="88"/>
                <w:lang w:val="ru-RU"/>
              </w:rPr>
            </w:r>
          </w:p>
        </w:tc>
      </w:tr>
    </w:tbl>
    <w:p>
      <w:pPr>
        <w:rPr>
          <w:highlight w:val="none"/>
        </w:rPr>
      </w:pPr>
      <w:r/>
      <w:r/>
    </w:p>
    <w:p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w="16838" w:h="11906" w:orient="landscape"/>
      <w:pgMar w:top="1701" w:right="1134" w:bottom="85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598"/>
    <w:next w:val="598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598"/>
    <w:next w:val="598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598"/>
    <w:next w:val="598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598"/>
    <w:next w:val="598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598"/>
    <w:next w:val="598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598"/>
    <w:next w:val="598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598"/>
    <w:next w:val="598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598"/>
    <w:next w:val="598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598"/>
    <w:next w:val="598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2">
    <w:name w:val="Title"/>
    <w:basedOn w:val="598"/>
    <w:next w:val="598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9"/>
    <w:link w:val="32"/>
    <w:uiPriority w:val="10"/>
    <w:rPr>
      <w:sz w:val="48"/>
      <w:szCs w:val="48"/>
    </w:rPr>
  </w:style>
  <w:style w:type="paragraph" w:styleId="34">
    <w:name w:val="Subtitle"/>
    <w:basedOn w:val="598"/>
    <w:next w:val="598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9"/>
    <w:link w:val="34"/>
    <w:uiPriority w:val="11"/>
    <w:rPr>
      <w:sz w:val="24"/>
      <w:szCs w:val="24"/>
    </w:rPr>
  </w:style>
  <w:style w:type="paragraph" w:styleId="36">
    <w:name w:val="Quote"/>
    <w:basedOn w:val="598"/>
    <w:next w:val="598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598"/>
    <w:next w:val="598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598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9"/>
    <w:link w:val="40"/>
    <w:uiPriority w:val="99"/>
  </w:style>
  <w:style w:type="paragraph" w:styleId="42">
    <w:name w:val="Footer"/>
    <w:basedOn w:val="598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9"/>
    <w:link w:val="42"/>
    <w:uiPriority w:val="99"/>
  </w:style>
  <w:style w:type="paragraph" w:styleId="44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3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7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0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4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598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9"/>
    <w:uiPriority w:val="99"/>
    <w:unhideWhenUsed/>
    <w:rPr>
      <w:vertAlign w:val="superscript"/>
    </w:rPr>
  </w:style>
  <w:style w:type="paragraph" w:styleId="176">
    <w:name w:val="endnote text"/>
    <w:basedOn w:val="598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9"/>
    <w:uiPriority w:val="99"/>
    <w:semiHidden/>
    <w:unhideWhenUsed/>
    <w:rPr>
      <w:vertAlign w:val="superscript"/>
    </w:rPr>
  </w:style>
  <w:style w:type="paragraph" w:styleId="179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ONLYOFFICE/7.1.1.57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2025-10-17T03:52:22Z</dcterms:modified>
</cp:coreProperties>
</file>